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D263D" w14:textId="77777777" w:rsidR="00B40C22" w:rsidRPr="00B40C22" w:rsidRDefault="00B40C22" w:rsidP="00B40C22">
      <w:pPr>
        <w:spacing w:line="276" w:lineRule="auto"/>
        <w:jc w:val="right"/>
        <w:rPr>
          <w:b/>
          <w:i/>
          <w:iCs/>
        </w:rPr>
      </w:pPr>
      <w:r w:rsidRPr="00B40C22">
        <w:rPr>
          <w:b/>
          <w:i/>
          <w:iCs/>
        </w:rPr>
        <w:t>Aktuali redakcija nuo 2026-04-27</w:t>
      </w:r>
    </w:p>
    <w:p w14:paraId="465036DA" w14:textId="77777777" w:rsidR="00B40C22" w:rsidRDefault="00B40C22" w:rsidP="00732EE8">
      <w:pPr>
        <w:spacing w:line="276" w:lineRule="auto"/>
        <w:jc w:val="center"/>
        <w:rPr>
          <w:b/>
        </w:rPr>
      </w:pPr>
    </w:p>
    <w:p w14:paraId="2DE97B43" w14:textId="72B28975" w:rsidR="00732EE8" w:rsidRDefault="00A97CCB" w:rsidP="00732EE8">
      <w:pPr>
        <w:spacing w:line="276" w:lineRule="auto"/>
        <w:jc w:val="center"/>
        <w:rPr>
          <w:b/>
        </w:rPr>
      </w:pPr>
      <w:r>
        <w:rPr>
          <w:b/>
        </w:rPr>
        <w:t>2022</w:t>
      </w:r>
      <w:r w:rsidR="00822987">
        <w:rPr>
          <w:b/>
        </w:rPr>
        <w:t>–</w:t>
      </w:r>
      <w:r>
        <w:rPr>
          <w:b/>
        </w:rPr>
        <w:t>2030 M. KLAIPĖDOS REGIONO PLĖTROS PLANO</w:t>
      </w:r>
      <w:r w:rsidR="00732EE8">
        <w:rPr>
          <w:b/>
        </w:rPr>
        <w:t xml:space="preserve"> </w:t>
      </w:r>
      <w:r w:rsidR="008E1E76">
        <w:rPr>
          <w:b/>
        </w:rPr>
        <w:t xml:space="preserve">PAŽANGOS PRIEMONĖS </w:t>
      </w:r>
      <w:bookmarkStart w:id="0" w:name="_Hlk145450629"/>
    </w:p>
    <w:p w14:paraId="0A3FEF6E" w14:textId="77777777" w:rsidR="002E03FC" w:rsidRDefault="008E1E76" w:rsidP="00732EE8">
      <w:pPr>
        <w:spacing w:line="276" w:lineRule="auto"/>
        <w:jc w:val="center"/>
        <w:rPr>
          <w:b/>
        </w:rPr>
      </w:pPr>
      <w:r>
        <w:rPr>
          <w:b/>
        </w:rPr>
        <w:t>N</w:t>
      </w:r>
      <w:r w:rsidR="009B7FD7">
        <w:rPr>
          <w:b/>
        </w:rPr>
        <w:t>R</w:t>
      </w:r>
      <w:r>
        <w:rPr>
          <w:b/>
        </w:rPr>
        <w:t>.</w:t>
      </w:r>
      <w:r w:rsidR="00A97CCB">
        <w:rPr>
          <w:b/>
        </w:rPr>
        <w:t xml:space="preserve"> </w:t>
      </w:r>
      <w:r w:rsidR="0051550B" w:rsidRPr="0051550B">
        <w:rPr>
          <w:b/>
        </w:rPr>
        <w:t>LT023-01-01-08</w:t>
      </w:r>
      <w:bookmarkEnd w:id="0"/>
      <w:r w:rsidR="00732EE8">
        <w:rPr>
          <w:b/>
        </w:rPr>
        <w:t xml:space="preserve"> </w:t>
      </w:r>
      <w:r w:rsidR="0051550B" w:rsidRPr="002440B1">
        <w:rPr>
          <w:b/>
        </w:rPr>
        <w:t xml:space="preserve">ĮGYVENDINTI </w:t>
      </w:r>
      <w:r w:rsidR="00142F56" w:rsidRPr="0051550B">
        <w:rPr>
          <w:b/>
        </w:rPr>
        <w:t xml:space="preserve">TVARIOS </w:t>
      </w:r>
      <w:r w:rsidR="00142F56">
        <w:rPr>
          <w:b/>
        </w:rPr>
        <w:t xml:space="preserve">KLAIPĖDOS MIESTO </w:t>
      </w:r>
      <w:r w:rsidR="00142F56" w:rsidRPr="0051550B">
        <w:rPr>
          <w:b/>
        </w:rPr>
        <w:t xml:space="preserve">PLĖTROS </w:t>
      </w:r>
    </w:p>
    <w:p w14:paraId="5080DF00" w14:textId="7A076F26" w:rsidR="00F15D0E" w:rsidRDefault="0051550B" w:rsidP="00732EE8">
      <w:pPr>
        <w:spacing w:line="276" w:lineRule="auto"/>
        <w:jc w:val="center"/>
        <w:rPr>
          <w:b/>
        </w:rPr>
      </w:pPr>
      <w:r w:rsidRPr="002440B1">
        <w:rPr>
          <w:b/>
        </w:rPr>
        <w:t>202</w:t>
      </w:r>
      <w:r w:rsidR="00445D58" w:rsidRPr="002440B1">
        <w:rPr>
          <w:b/>
        </w:rPr>
        <w:t>3</w:t>
      </w:r>
      <w:r w:rsidRPr="002440B1">
        <w:rPr>
          <w:b/>
        </w:rPr>
        <w:t>–20</w:t>
      </w:r>
      <w:r w:rsidR="00445D58" w:rsidRPr="002440B1">
        <w:rPr>
          <w:b/>
        </w:rPr>
        <w:t>29</w:t>
      </w:r>
      <w:r w:rsidRPr="002440B1">
        <w:rPr>
          <w:b/>
        </w:rPr>
        <w:t xml:space="preserve"> METŲ </w:t>
      </w:r>
      <w:r w:rsidRPr="0051550B">
        <w:rPr>
          <w:b/>
        </w:rPr>
        <w:t>STRATEGIJĄ</w:t>
      </w:r>
      <w:r>
        <w:rPr>
          <w:b/>
        </w:rPr>
        <w:t xml:space="preserve"> </w:t>
      </w:r>
      <w:r w:rsidR="008E1E76">
        <w:rPr>
          <w:b/>
        </w:rPr>
        <w:t>PAGRINDIMO APRAŠAS</w:t>
      </w:r>
    </w:p>
    <w:p w14:paraId="76D5A178" w14:textId="77777777" w:rsidR="00A57B5D" w:rsidRDefault="00A57B5D" w:rsidP="001110F2">
      <w:pPr>
        <w:spacing w:line="276" w:lineRule="auto"/>
        <w:jc w:val="center"/>
        <w:rPr>
          <w:b/>
        </w:rPr>
      </w:pPr>
    </w:p>
    <w:p w14:paraId="5080DF01" w14:textId="2D62C1B3" w:rsidR="00F15D0E" w:rsidRPr="00821B6F" w:rsidRDefault="00FE0D7C" w:rsidP="001110F2">
      <w:pPr>
        <w:spacing w:line="276" w:lineRule="auto"/>
        <w:jc w:val="center"/>
      </w:pPr>
      <w:r>
        <w:t xml:space="preserve">  </w:t>
      </w:r>
      <w:r w:rsidR="00B40C22">
        <w:t xml:space="preserve">2024-03-14 </w:t>
      </w:r>
      <w:r w:rsidR="008E1E76" w:rsidRPr="00821B6F">
        <w:t xml:space="preserve">Nr. </w:t>
      </w:r>
      <w:r w:rsidR="00B40C22">
        <w:t>PA-3</w:t>
      </w:r>
    </w:p>
    <w:p w14:paraId="5080DF03" w14:textId="61A047CF" w:rsidR="00F15D0E" w:rsidRDefault="00F15D0E" w:rsidP="001110F2">
      <w:pPr>
        <w:spacing w:line="276" w:lineRule="auto"/>
        <w:jc w:val="center"/>
        <w:rPr>
          <w:b/>
        </w:rPr>
      </w:pPr>
    </w:p>
    <w:p w14:paraId="5080DF04" w14:textId="2246821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 SKYRIUS</w:t>
      </w:r>
    </w:p>
    <w:p w14:paraId="5080DF05" w14:textId="3F09B2A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BENDROSIOS NUOSTATOS</w:t>
      </w:r>
    </w:p>
    <w:p w14:paraId="5080DF06" w14:textId="77777777" w:rsidR="00F15D0E" w:rsidRDefault="00F15D0E" w:rsidP="001110F2">
      <w:pPr>
        <w:spacing w:line="276" w:lineRule="auto"/>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62"/>
      </w:tblGrid>
      <w:tr w:rsidR="00F15D0E" w14:paraId="5080DF09" w14:textId="77777777" w:rsidTr="005E1E5A">
        <w:tc>
          <w:tcPr>
            <w:tcW w:w="2972" w:type="dxa"/>
            <w:shd w:val="pct10" w:color="auto" w:fill="FFFFFF" w:themeFill="background1"/>
          </w:tcPr>
          <w:p w14:paraId="5080DF07" w14:textId="77777777" w:rsidR="00F15D0E" w:rsidRDefault="008E1E76" w:rsidP="002440B1">
            <w:pPr>
              <w:spacing w:line="276" w:lineRule="auto"/>
              <w:rPr>
                <w:b/>
              </w:rPr>
            </w:pPr>
            <w:r>
              <w:rPr>
                <w:b/>
              </w:rPr>
              <w:t>Regiono plėtros uždavinys (-</w:t>
            </w:r>
            <w:proofErr w:type="spellStart"/>
            <w:r>
              <w:rPr>
                <w:b/>
              </w:rPr>
              <w:t>iai</w:t>
            </w:r>
            <w:proofErr w:type="spellEnd"/>
            <w:r>
              <w:rPr>
                <w:b/>
              </w:rPr>
              <w:t>)</w:t>
            </w:r>
          </w:p>
        </w:tc>
        <w:tc>
          <w:tcPr>
            <w:tcW w:w="6662" w:type="dxa"/>
          </w:tcPr>
          <w:p w14:paraId="5080DF08" w14:textId="554B344F" w:rsidR="00F15D0E" w:rsidRPr="00A97CCB" w:rsidRDefault="0011106E" w:rsidP="002440B1">
            <w:pPr>
              <w:tabs>
                <w:tab w:val="left" w:pos="598"/>
              </w:tabs>
              <w:spacing w:line="276" w:lineRule="auto"/>
              <w:jc w:val="both"/>
            </w:pPr>
            <w:r w:rsidRPr="0011106E">
              <w:t>LT023-01-01</w:t>
            </w:r>
            <w:r w:rsidR="002F4ADE">
              <w:t xml:space="preserve"> </w:t>
            </w:r>
            <w:r w:rsidRPr="0011106E">
              <w:t>Paskatinti aukštesnę pridėtinę vertę kuriančių ekonomikos šakų pritraukimą į regioną</w:t>
            </w:r>
          </w:p>
        </w:tc>
      </w:tr>
    </w:tbl>
    <w:p w14:paraId="5080DF0A" w14:textId="29E3C698" w:rsidR="00F15D0E" w:rsidRDefault="00F15D0E" w:rsidP="001110F2">
      <w:pPr>
        <w:spacing w:line="276" w:lineRule="auto"/>
      </w:pPr>
    </w:p>
    <w:p w14:paraId="5080DF0B" w14:textId="3EA0DD6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II SKYRIUS</w:t>
      </w:r>
    </w:p>
    <w:p w14:paraId="5080DF0C" w14:textId="1B8F19E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SITUACIJOS ANALIZĖ IR SIEKIAMAS POKYTIS</w:t>
      </w:r>
    </w:p>
    <w:p w14:paraId="5080DF0D" w14:textId="77777777" w:rsidR="00F15D0E" w:rsidRDefault="00F15D0E" w:rsidP="001110F2">
      <w:pPr>
        <w:spacing w:line="276" w:lineRule="auto"/>
      </w:pPr>
    </w:p>
    <w:p w14:paraId="30DD4ADA" w14:textId="6A095078" w:rsidR="00F6334E" w:rsidRDefault="005E1E5A" w:rsidP="00F6334E">
      <w:pPr>
        <w:tabs>
          <w:tab w:val="left" w:pos="598"/>
        </w:tabs>
        <w:spacing w:line="276" w:lineRule="auto"/>
        <w:ind w:firstLine="851"/>
        <w:jc w:val="both"/>
        <w:rPr>
          <w:rFonts w:eastAsia="Calibri"/>
          <w:iCs/>
          <w:szCs w:val="22"/>
        </w:rPr>
      </w:pPr>
      <w:r w:rsidRPr="005E1E5A">
        <w:rPr>
          <w:color w:val="000000" w:themeColor="text1"/>
          <w:szCs w:val="24"/>
        </w:rPr>
        <w:t>Šia pažangos priemone</w:t>
      </w:r>
      <w:r w:rsidR="00E80363">
        <w:rPr>
          <w:color w:val="000000" w:themeColor="text1"/>
          <w:szCs w:val="24"/>
        </w:rPr>
        <w:t xml:space="preserve"> </w:t>
      </w:r>
      <w:r w:rsidRPr="005E1E5A">
        <w:rPr>
          <w:color w:val="000000" w:themeColor="text1"/>
          <w:szCs w:val="24"/>
        </w:rPr>
        <w:t>sprendžiama 2022</w:t>
      </w:r>
      <w:r w:rsidR="00822987">
        <w:rPr>
          <w:color w:val="000000" w:themeColor="text1"/>
          <w:szCs w:val="24"/>
        </w:rPr>
        <w:t>–</w:t>
      </w:r>
      <w:r w:rsidRPr="005E1E5A">
        <w:rPr>
          <w:color w:val="000000" w:themeColor="text1"/>
          <w:szCs w:val="24"/>
        </w:rPr>
        <w:t>2030 m</w:t>
      </w:r>
      <w:r w:rsidR="00E80363">
        <w:rPr>
          <w:color w:val="000000" w:themeColor="text1"/>
          <w:szCs w:val="24"/>
        </w:rPr>
        <w:t>.</w:t>
      </w:r>
      <w:r w:rsidRPr="005E1E5A">
        <w:rPr>
          <w:color w:val="000000" w:themeColor="text1"/>
          <w:szCs w:val="24"/>
        </w:rPr>
        <w:t xml:space="preserve"> Klaipėdos regiono plėtros plane</w:t>
      </w:r>
      <w:r w:rsidR="00E80363">
        <w:rPr>
          <w:rStyle w:val="FootnoteReference"/>
          <w:color w:val="000000" w:themeColor="text1"/>
          <w:szCs w:val="24"/>
        </w:rPr>
        <w:footnoteReference w:id="1"/>
      </w:r>
      <w:r w:rsidRPr="005E1E5A">
        <w:rPr>
          <w:color w:val="000000" w:themeColor="text1"/>
          <w:szCs w:val="24"/>
        </w:rPr>
        <w:t xml:space="preserve"> (toliau – </w:t>
      </w:r>
      <w:r w:rsidR="00F14E58">
        <w:rPr>
          <w:color w:val="000000" w:themeColor="text1"/>
          <w:szCs w:val="24"/>
        </w:rPr>
        <w:t>K</w:t>
      </w:r>
      <w:r w:rsidRPr="005E1E5A">
        <w:rPr>
          <w:color w:val="000000" w:themeColor="text1"/>
          <w:szCs w:val="24"/>
        </w:rPr>
        <w:t>RPP</w:t>
      </w:r>
      <w:r w:rsidR="00F14E58">
        <w:rPr>
          <w:color w:val="000000" w:themeColor="text1"/>
          <w:szCs w:val="24"/>
        </w:rPr>
        <w:t>l</w:t>
      </w:r>
      <w:r w:rsidRPr="005E1E5A">
        <w:rPr>
          <w:color w:val="000000" w:themeColor="text1"/>
          <w:szCs w:val="24"/>
        </w:rPr>
        <w:t xml:space="preserve">) nurodyta </w:t>
      </w:r>
      <w:r w:rsidR="000923F0">
        <w:rPr>
          <w:color w:val="000000" w:themeColor="text1"/>
          <w:szCs w:val="24"/>
        </w:rPr>
        <w:t>1</w:t>
      </w:r>
      <w:r w:rsidR="00F6334E">
        <w:rPr>
          <w:color w:val="000000" w:themeColor="text1"/>
          <w:szCs w:val="24"/>
        </w:rPr>
        <w:t>-a</w:t>
      </w:r>
      <w:r w:rsidRPr="005E1E5A">
        <w:rPr>
          <w:color w:val="000000" w:themeColor="text1"/>
          <w:szCs w:val="24"/>
        </w:rPr>
        <w:t xml:space="preserve"> problema „</w:t>
      </w:r>
      <w:r w:rsidR="00E84AF8" w:rsidRPr="00E84AF8">
        <w:rPr>
          <w:color w:val="000000" w:themeColor="text1"/>
          <w:szCs w:val="24"/>
        </w:rPr>
        <w:t>Regionas nepakankamai patrauklus aukštesnės pridėtinės vertės verslui</w:t>
      </w:r>
      <w:r w:rsidR="000E649B">
        <w:rPr>
          <w:color w:val="000000" w:themeColor="text1"/>
          <w:szCs w:val="24"/>
        </w:rPr>
        <w:t xml:space="preserve">“ ir šalinama jos priežastis – </w:t>
      </w:r>
      <w:r w:rsidR="00B66432">
        <w:rPr>
          <w:rFonts w:eastAsia="Calibri"/>
          <w:iCs/>
          <w:szCs w:val="22"/>
        </w:rPr>
        <w:t>1</w:t>
      </w:r>
      <w:r w:rsidR="00FF77D5">
        <w:rPr>
          <w:rFonts w:eastAsia="Calibri"/>
          <w:iCs/>
          <w:szCs w:val="22"/>
        </w:rPr>
        <w:t>.1</w:t>
      </w:r>
      <w:r w:rsidR="000E649B" w:rsidRPr="000E649B">
        <w:rPr>
          <w:rFonts w:eastAsia="Calibri"/>
          <w:iCs/>
          <w:szCs w:val="22"/>
        </w:rPr>
        <w:t xml:space="preserve">. </w:t>
      </w:r>
      <w:r w:rsidR="000E649B">
        <w:rPr>
          <w:rFonts w:eastAsia="Calibri"/>
          <w:iCs/>
          <w:szCs w:val="22"/>
        </w:rPr>
        <w:t>„</w:t>
      </w:r>
      <w:r w:rsidR="00B66432" w:rsidRPr="00B66432">
        <w:rPr>
          <w:rFonts w:eastAsia="Calibri"/>
          <w:iCs/>
          <w:szCs w:val="22"/>
        </w:rPr>
        <w:t>Nesudarytos patrauklios sąlygos aukštesnę pridėtinę vertę kuriančių ekonomikos šakų pritraukimui į regioną</w:t>
      </w:r>
      <w:r w:rsidR="000E649B">
        <w:rPr>
          <w:rFonts w:eastAsia="Calibri"/>
          <w:iCs/>
          <w:szCs w:val="22"/>
        </w:rPr>
        <w:t>“</w:t>
      </w:r>
      <w:r w:rsidR="000E649B" w:rsidRPr="000E649B">
        <w:rPr>
          <w:rFonts w:eastAsia="Calibri"/>
          <w:iCs/>
          <w:szCs w:val="22"/>
        </w:rPr>
        <w:t>.</w:t>
      </w:r>
      <w:r w:rsidR="00FE0CB4">
        <w:rPr>
          <w:rFonts w:eastAsia="Calibri"/>
          <w:iCs/>
          <w:szCs w:val="22"/>
        </w:rPr>
        <w:t xml:space="preserve"> </w:t>
      </w:r>
      <w:r w:rsidR="00F6334E">
        <w:rPr>
          <w:rFonts w:eastAsia="Calibri"/>
          <w:iCs/>
          <w:szCs w:val="22"/>
        </w:rPr>
        <w:t>Tuo pačiu prisidedama prie 2022–2030 m. regionų plėtros programoje</w:t>
      </w:r>
      <w:r w:rsidR="00F6334E">
        <w:rPr>
          <w:rStyle w:val="FootnoteReference"/>
          <w:rFonts w:eastAsia="Calibri"/>
          <w:iCs/>
          <w:szCs w:val="22"/>
        </w:rPr>
        <w:footnoteReference w:id="2"/>
      </w:r>
      <w:r w:rsidR="00F6334E">
        <w:rPr>
          <w:rFonts w:eastAsia="Calibri"/>
          <w:iCs/>
          <w:szCs w:val="22"/>
        </w:rPr>
        <w:t xml:space="preserve"> įvardintos problemos</w:t>
      </w:r>
      <w:r w:rsidR="00913EA2">
        <w:rPr>
          <w:rFonts w:eastAsia="Calibri"/>
          <w:iCs/>
          <w:szCs w:val="22"/>
        </w:rPr>
        <w:t xml:space="preserve"> </w:t>
      </w:r>
      <w:r w:rsidR="00F16F46">
        <w:rPr>
          <w:rFonts w:eastAsia="Calibri"/>
          <w:iCs/>
          <w:szCs w:val="22"/>
        </w:rPr>
        <w:t xml:space="preserve">– </w:t>
      </w:r>
      <w:r w:rsidR="00F6334E">
        <w:rPr>
          <w:rFonts w:eastAsia="Calibri"/>
          <w:iCs/>
          <w:szCs w:val="22"/>
        </w:rPr>
        <w:t>„</w:t>
      </w:r>
      <w:r w:rsidR="00F6334E" w:rsidRPr="00F6334E">
        <w:rPr>
          <w:rFonts w:eastAsia="Calibri"/>
          <w:iCs/>
          <w:szCs w:val="22"/>
        </w:rPr>
        <w:t>Skirtingas regionų ekonominio augimo potencialas ir netolygi ekonomikos plėtra</w:t>
      </w:r>
      <w:r w:rsidR="00F6334E">
        <w:rPr>
          <w:rFonts w:eastAsia="Calibri"/>
          <w:iCs/>
          <w:szCs w:val="22"/>
        </w:rPr>
        <w:t>“</w:t>
      </w:r>
      <w:r w:rsidR="00F16F46">
        <w:rPr>
          <w:rFonts w:eastAsia="Calibri"/>
          <w:iCs/>
          <w:szCs w:val="22"/>
        </w:rPr>
        <w:t xml:space="preserve">, </w:t>
      </w:r>
      <w:r w:rsidR="003913BB">
        <w:rPr>
          <w:rFonts w:eastAsia="Calibri"/>
          <w:iCs/>
          <w:szCs w:val="22"/>
        </w:rPr>
        <w:t>sprendimo.</w:t>
      </w:r>
    </w:p>
    <w:p w14:paraId="0FEC4624" w14:textId="322CC796" w:rsidR="003913BB" w:rsidRDefault="00161E40" w:rsidP="00F6334E">
      <w:pPr>
        <w:tabs>
          <w:tab w:val="left" w:pos="598"/>
        </w:tabs>
        <w:spacing w:line="276" w:lineRule="auto"/>
        <w:ind w:firstLine="851"/>
        <w:jc w:val="both"/>
        <w:rPr>
          <w:rFonts w:eastAsia="Calibri"/>
          <w:iCs/>
          <w:szCs w:val="22"/>
        </w:rPr>
      </w:pPr>
      <w:r>
        <w:rPr>
          <w:rFonts w:eastAsia="Calibri"/>
          <w:iCs/>
          <w:szCs w:val="22"/>
        </w:rPr>
        <w:t>K</w:t>
      </w:r>
      <w:r w:rsidR="003913BB">
        <w:rPr>
          <w:rFonts w:eastAsia="Calibri"/>
          <w:iCs/>
          <w:szCs w:val="22"/>
        </w:rPr>
        <w:t>RPP</w:t>
      </w:r>
      <w:r>
        <w:rPr>
          <w:rFonts w:eastAsia="Calibri"/>
          <w:iCs/>
          <w:szCs w:val="22"/>
        </w:rPr>
        <w:t>l</w:t>
      </w:r>
      <w:r w:rsidR="003913BB">
        <w:rPr>
          <w:rFonts w:eastAsia="Calibri"/>
          <w:iCs/>
          <w:szCs w:val="22"/>
        </w:rPr>
        <w:t xml:space="preserve"> nurodoma, kad </w:t>
      </w:r>
      <w:r w:rsidR="003913BB" w:rsidRPr="003913BB">
        <w:rPr>
          <w:rFonts w:eastAsia="Calibri"/>
          <w:iCs/>
          <w:szCs w:val="22"/>
        </w:rPr>
        <w:t xml:space="preserve">Lietuvoje regionų ekonominiai skirtumai akivaizdūs ir didėja. Nors šalies ekonomika vystosi gana sparčiai, regioniniu lygmeniu ekonominis augimas yra netolygus. Nepaisant to, kad Klaipėdos regionui būdinga didelė gyventojų dalis tankiai gyvenamose teritorijose, geras teritorijos pasiekiamumas, didesnė ekonominių veiklų koncentracija ir įvairovė, būtina orientuotis į </w:t>
      </w:r>
      <w:r w:rsidR="008C13C5">
        <w:rPr>
          <w:rFonts w:eastAsia="Calibri"/>
          <w:iCs/>
          <w:szCs w:val="22"/>
        </w:rPr>
        <w:t>paslaugų, užimtumo kokybės užtikrinimą, išnaudoti palankią geografinę padėtį, gamtinį, rekreacinį potencialą</w:t>
      </w:r>
      <w:r w:rsidR="00D84A27">
        <w:rPr>
          <w:rFonts w:eastAsia="Calibri"/>
          <w:iCs/>
          <w:szCs w:val="22"/>
        </w:rPr>
        <w:t>, subalansuoti teritorijų plėtrą</w:t>
      </w:r>
      <w:r w:rsidR="008C13C5">
        <w:rPr>
          <w:rFonts w:eastAsia="Calibri"/>
          <w:iCs/>
          <w:szCs w:val="22"/>
        </w:rPr>
        <w:t xml:space="preserve">. </w:t>
      </w:r>
    </w:p>
    <w:p w14:paraId="7985AF82" w14:textId="403DE0DD" w:rsidR="002F1117" w:rsidRDefault="008C13C5" w:rsidP="00F6334E">
      <w:pPr>
        <w:tabs>
          <w:tab w:val="left" w:pos="598"/>
        </w:tabs>
        <w:spacing w:line="276" w:lineRule="auto"/>
        <w:ind w:firstLine="851"/>
        <w:jc w:val="both"/>
        <w:rPr>
          <w:rFonts w:eastAsia="Calibri"/>
          <w:iCs/>
          <w:szCs w:val="22"/>
        </w:rPr>
      </w:pPr>
      <w:r>
        <w:rPr>
          <w:rFonts w:eastAsia="Calibri"/>
          <w:iCs/>
          <w:szCs w:val="22"/>
        </w:rPr>
        <w:t>Viešosios infrastruktūros ir vie</w:t>
      </w:r>
      <w:r w:rsidR="002F1117">
        <w:rPr>
          <w:rFonts w:eastAsia="Calibri"/>
          <w:iCs/>
          <w:szCs w:val="22"/>
        </w:rPr>
        <w:t>šųjų paslaugų tinklo trūkumus regione tikslinga spręsti bendromis kelių savivaldybių pastangomis, t. y. rengiant tikslinių teritorijų vystymo strategijas. 2023 m. gruodžio mėn. Klaipėdos miesto ir Klaipėdos rajono savivaldybių tarybos patvirtino Tvarios Klaipėdos miesto plėtros 2023–2029 metų strategiją</w:t>
      </w:r>
      <w:r w:rsidR="002F1117">
        <w:rPr>
          <w:rStyle w:val="FootnoteReference"/>
          <w:rFonts w:eastAsia="Calibri"/>
          <w:iCs/>
          <w:szCs w:val="22"/>
        </w:rPr>
        <w:footnoteReference w:id="3"/>
      </w:r>
      <w:r w:rsidR="00BA2017">
        <w:rPr>
          <w:rFonts w:eastAsia="Calibri"/>
          <w:iCs/>
          <w:szCs w:val="22"/>
        </w:rPr>
        <w:t xml:space="preserve"> (toliau – Strategija)</w:t>
      </w:r>
      <w:r w:rsidR="002F1117">
        <w:rPr>
          <w:rFonts w:eastAsia="Calibri"/>
          <w:iCs/>
          <w:szCs w:val="22"/>
        </w:rPr>
        <w:t xml:space="preserve">. </w:t>
      </w:r>
      <w:r w:rsidR="00BA2017">
        <w:rPr>
          <w:rFonts w:eastAsia="Calibri"/>
          <w:iCs/>
          <w:szCs w:val="22"/>
        </w:rPr>
        <w:t>Pastaroji įgyvendinama miesto ir su juo</w:t>
      </w:r>
      <w:r w:rsidR="00BA2017" w:rsidRPr="00BA2017">
        <w:t xml:space="preserve"> </w:t>
      </w:r>
      <w:r w:rsidR="00BA2017" w:rsidRPr="00BA2017">
        <w:rPr>
          <w:rFonts w:eastAsia="Calibri"/>
          <w:iCs/>
          <w:szCs w:val="22"/>
        </w:rPr>
        <w:t xml:space="preserve">besiribojančioje Klaipėdos rajono savivaldybės gyvenamųjų vietovių teritorijoje. Priemiesčio gyvenamosios vietovės atitinka teritorijos vientisumo kriterijų: gyvenamosios vietovės ribojasi su miestu, joms būdingas didelis gyventojų ir užstatymo tankumas ir augimo tendencijos. Bendras miesto ir priemiesčio teritorijos plotas užima 141,61 kv. km, iš kurių 98 kv. km sudaro Klaipėdos miestas, 43,61 kv. km </w:t>
      </w:r>
      <w:r w:rsidR="004D497E">
        <w:rPr>
          <w:rFonts w:eastAsia="Calibri"/>
          <w:iCs/>
          <w:szCs w:val="22"/>
        </w:rPr>
        <w:t>–</w:t>
      </w:r>
      <w:r w:rsidR="00BA2017" w:rsidRPr="00BA2017">
        <w:rPr>
          <w:rFonts w:eastAsia="Calibri"/>
          <w:iCs/>
          <w:szCs w:val="22"/>
        </w:rPr>
        <w:t xml:space="preserve"> priemiesčio</w:t>
      </w:r>
      <w:r w:rsidR="004D497E">
        <w:rPr>
          <w:rFonts w:eastAsia="Calibri"/>
          <w:iCs/>
          <w:szCs w:val="22"/>
        </w:rPr>
        <w:t xml:space="preserve"> </w:t>
      </w:r>
      <w:r w:rsidR="00BA2017" w:rsidRPr="00BA2017">
        <w:rPr>
          <w:rFonts w:eastAsia="Calibri"/>
          <w:iCs/>
          <w:szCs w:val="22"/>
        </w:rPr>
        <w:t>teritorija (</w:t>
      </w:r>
      <w:proofErr w:type="spellStart"/>
      <w:r w:rsidR="00BA2017" w:rsidRPr="00BA2017">
        <w:rPr>
          <w:rFonts w:eastAsia="Calibri"/>
          <w:iCs/>
          <w:szCs w:val="22"/>
        </w:rPr>
        <w:t>Aukštkiemių</w:t>
      </w:r>
      <w:proofErr w:type="spellEnd"/>
      <w:r w:rsidR="00BA2017" w:rsidRPr="00BA2017">
        <w:rPr>
          <w:rFonts w:eastAsia="Calibri"/>
          <w:iCs/>
          <w:szCs w:val="22"/>
        </w:rPr>
        <w:t xml:space="preserve"> k., </w:t>
      </w:r>
      <w:proofErr w:type="spellStart"/>
      <w:r w:rsidR="00BA2017" w:rsidRPr="00BA2017">
        <w:rPr>
          <w:rFonts w:eastAsia="Calibri"/>
          <w:iCs/>
          <w:szCs w:val="22"/>
        </w:rPr>
        <w:t>Budrikų</w:t>
      </w:r>
      <w:proofErr w:type="spellEnd"/>
      <w:r w:rsidR="00BA2017" w:rsidRPr="00BA2017">
        <w:rPr>
          <w:rFonts w:eastAsia="Calibri"/>
          <w:iCs/>
          <w:szCs w:val="22"/>
        </w:rPr>
        <w:t xml:space="preserve"> k., Gindulių k., </w:t>
      </w:r>
      <w:proofErr w:type="spellStart"/>
      <w:r w:rsidR="00BA2017" w:rsidRPr="00BA2017">
        <w:rPr>
          <w:rFonts w:eastAsia="Calibri"/>
          <w:iCs/>
          <w:szCs w:val="22"/>
        </w:rPr>
        <w:lastRenderedPageBreak/>
        <w:t>Glaudėnų</w:t>
      </w:r>
      <w:proofErr w:type="spellEnd"/>
      <w:r w:rsidR="00BA2017" w:rsidRPr="00BA2017">
        <w:rPr>
          <w:rFonts w:eastAsia="Calibri"/>
          <w:iCs/>
          <w:szCs w:val="22"/>
        </w:rPr>
        <w:t xml:space="preserve"> k., Jakų k., </w:t>
      </w:r>
      <w:proofErr w:type="spellStart"/>
      <w:r w:rsidR="00BA2017" w:rsidRPr="00BA2017">
        <w:rPr>
          <w:rFonts w:eastAsia="Calibri"/>
          <w:iCs/>
          <w:szCs w:val="22"/>
        </w:rPr>
        <w:t>Kalotės</w:t>
      </w:r>
      <w:proofErr w:type="spellEnd"/>
      <w:r w:rsidR="00BA2017" w:rsidRPr="00BA2017">
        <w:rPr>
          <w:rFonts w:eastAsia="Calibri"/>
          <w:iCs/>
          <w:szCs w:val="22"/>
        </w:rPr>
        <w:t xml:space="preserve"> k., </w:t>
      </w:r>
      <w:proofErr w:type="spellStart"/>
      <w:r w:rsidR="00BA2017" w:rsidRPr="00BA2017">
        <w:rPr>
          <w:rFonts w:eastAsia="Calibri"/>
          <w:iCs/>
          <w:szCs w:val="22"/>
        </w:rPr>
        <w:t>Klemiškės</w:t>
      </w:r>
      <w:proofErr w:type="spellEnd"/>
      <w:r w:rsidR="00BA2017" w:rsidRPr="00BA2017">
        <w:rPr>
          <w:rFonts w:eastAsia="Calibri"/>
          <w:iCs/>
          <w:szCs w:val="22"/>
        </w:rPr>
        <w:t xml:space="preserve"> I k., </w:t>
      </w:r>
      <w:proofErr w:type="spellStart"/>
      <w:r w:rsidR="00BA2017" w:rsidRPr="00BA2017">
        <w:rPr>
          <w:rFonts w:eastAsia="Calibri"/>
          <w:iCs/>
          <w:szCs w:val="22"/>
        </w:rPr>
        <w:t>Klemiškės</w:t>
      </w:r>
      <w:proofErr w:type="spellEnd"/>
      <w:r w:rsidR="00BA2017" w:rsidRPr="00BA2017">
        <w:rPr>
          <w:rFonts w:eastAsia="Calibri"/>
          <w:iCs/>
          <w:szCs w:val="22"/>
        </w:rPr>
        <w:t xml:space="preserve"> II k., </w:t>
      </w:r>
      <w:proofErr w:type="spellStart"/>
      <w:r w:rsidR="00BA2017" w:rsidRPr="00BA2017">
        <w:rPr>
          <w:rFonts w:eastAsia="Calibri"/>
          <w:iCs/>
          <w:szCs w:val="22"/>
        </w:rPr>
        <w:t>Klipščių</w:t>
      </w:r>
      <w:proofErr w:type="spellEnd"/>
      <w:r w:rsidR="00BA2017" w:rsidRPr="00BA2017">
        <w:rPr>
          <w:rFonts w:eastAsia="Calibri"/>
          <w:iCs/>
          <w:szCs w:val="22"/>
        </w:rPr>
        <w:t xml:space="preserve"> k., </w:t>
      </w:r>
      <w:proofErr w:type="spellStart"/>
      <w:r w:rsidR="00BA2017" w:rsidRPr="00BA2017">
        <w:rPr>
          <w:rFonts w:eastAsia="Calibri"/>
          <w:iCs/>
          <w:szCs w:val="22"/>
        </w:rPr>
        <w:t>Kukuliškių</w:t>
      </w:r>
      <w:proofErr w:type="spellEnd"/>
      <w:r w:rsidR="00BA2017" w:rsidRPr="00BA2017">
        <w:rPr>
          <w:rFonts w:eastAsia="Calibri"/>
          <w:iCs/>
          <w:szCs w:val="22"/>
        </w:rPr>
        <w:t xml:space="preserve"> k., </w:t>
      </w:r>
      <w:proofErr w:type="spellStart"/>
      <w:r w:rsidR="00BA2017" w:rsidRPr="00BA2017">
        <w:rPr>
          <w:rFonts w:eastAsia="Calibri"/>
          <w:iCs/>
          <w:szCs w:val="22"/>
        </w:rPr>
        <w:t>Laistų</w:t>
      </w:r>
      <w:proofErr w:type="spellEnd"/>
      <w:r w:rsidR="00BA2017" w:rsidRPr="00BA2017">
        <w:rPr>
          <w:rFonts w:eastAsia="Calibri"/>
          <w:iCs/>
          <w:szCs w:val="22"/>
        </w:rPr>
        <w:t xml:space="preserve"> k., Martinų k., </w:t>
      </w:r>
      <w:proofErr w:type="spellStart"/>
      <w:r w:rsidR="00BA2017" w:rsidRPr="00BA2017">
        <w:rPr>
          <w:rFonts w:eastAsia="Calibri"/>
          <w:iCs/>
          <w:szCs w:val="22"/>
        </w:rPr>
        <w:t>Mazūriškių</w:t>
      </w:r>
      <w:proofErr w:type="spellEnd"/>
      <w:r w:rsidR="00BA2017" w:rsidRPr="00BA2017">
        <w:rPr>
          <w:rFonts w:eastAsia="Calibri"/>
          <w:iCs/>
          <w:szCs w:val="22"/>
        </w:rPr>
        <w:t xml:space="preserve"> k., </w:t>
      </w:r>
      <w:proofErr w:type="spellStart"/>
      <w:r w:rsidR="00BA2017" w:rsidRPr="00BA2017">
        <w:rPr>
          <w:rFonts w:eastAsia="Calibri"/>
          <w:iCs/>
          <w:szCs w:val="22"/>
        </w:rPr>
        <w:t>Purmalių</w:t>
      </w:r>
      <w:proofErr w:type="spellEnd"/>
      <w:r w:rsidR="00BA2017" w:rsidRPr="00BA2017">
        <w:rPr>
          <w:rFonts w:eastAsia="Calibri"/>
          <w:iCs/>
          <w:szCs w:val="22"/>
        </w:rPr>
        <w:t xml:space="preserve"> k., </w:t>
      </w:r>
      <w:proofErr w:type="spellStart"/>
      <w:r w:rsidR="00BA2017" w:rsidRPr="00BA2017">
        <w:rPr>
          <w:rFonts w:eastAsia="Calibri"/>
          <w:iCs/>
          <w:szCs w:val="22"/>
        </w:rPr>
        <w:t>Slengių</w:t>
      </w:r>
      <w:proofErr w:type="spellEnd"/>
      <w:r w:rsidR="00BA2017" w:rsidRPr="00BA2017">
        <w:rPr>
          <w:rFonts w:eastAsia="Calibri"/>
          <w:iCs/>
          <w:szCs w:val="22"/>
        </w:rPr>
        <w:t xml:space="preserve"> k., </w:t>
      </w:r>
      <w:proofErr w:type="spellStart"/>
      <w:r w:rsidR="00BA2017" w:rsidRPr="00BA2017">
        <w:rPr>
          <w:rFonts w:eastAsia="Calibri"/>
          <w:iCs/>
          <w:szCs w:val="22"/>
        </w:rPr>
        <w:t>Švepelių</w:t>
      </w:r>
      <w:proofErr w:type="spellEnd"/>
      <w:r w:rsidR="00BA2017" w:rsidRPr="00BA2017">
        <w:rPr>
          <w:rFonts w:eastAsia="Calibri"/>
          <w:iCs/>
          <w:szCs w:val="22"/>
        </w:rPr>
        <w:t xml:space="preserve"> k., </w:t>
      </w:r>
      <w:proofErr w:type="spellStart"/>
      <w:r w:rsidR="00BA2017" w:rsidRPr="00BA2017">
        <w:rPr>
          <w:rFonts w:eastAsia="Calibri"/>
          <w:iCs/>
          <w:szCs w:val="22"/>
        </w:rPr>
        <w:t>Trušelių</w:t>
      </w:r>
      <w:proofErr w:type="spellEnd"/>
      <w:r w:rsidR="00BA2017" w:rsidRPr="00BA2017">
        <w:rPr>
          <w:rFonts w:eastAsia="Calibri"/>
          <w:iCs/>
          <w:szCs w:val="22"/>
        </w:rPr>
        <w:t xml:space="preserve"> k.). </w:t>
      </w:r>
    </w:p>
    <w:p w14:paraId="4997B315" w14:textId="77777777" w:rsidR="00BA2017" w:rsidRDefault="00BA2017" w:rsidP="00F6334E">
      <w:pPr>
        <w:tabs>
          <w:tab w:val="left" w:pos="598"/>
        </w:tabs>
        <w:spacing w:line="276" w:lineRule="auto"/>
        <w:ind w:firstLine="851"/>
        <w:jc w:val="both"/>
        <w:rPr>
          <w:rFonts w:eastAsia="Calibri"/>
          <w:iCs/>
          <w:szCs w:val="22"/>
        </w:rPr>
      </w:pPr>
    </w:p>
    <w:p w14:paraId="270E582E" w14:textId="199ACBA4" w:rsidR="00BA2017" w:rsidRDefault="00BA2017" w:rsidP="00BA2017">
      <w:pPr>
        <w:tabs>
          <w:tab w:val="left" w:pos="598"/>
        </w:tabs>
        <w:spacing w:line="276" w:lineRule="auto"/>
        <w:jc w:val="center"/>
        <w:rPr>
          <w:rFonts w:eastAsia="Calibri"/>
          <w:iCs/>
          <w:szCs w:val="22"/>
        </w:rPr>
      </w:pPr>
      <w:r>
        <w:rPr>
          <w:rFonts w:eastAsia="Calibri"/>
          <w:iCs/>
          <w:noProof/>
          <w:szCs w:val="22"/>
          <w:lang w:eastAsia="lt-LT"/>
        </w:rPr>
        <w:drawing>
          <wp:inline distT="0" distB="0" distL="0" distR="0" wp14:anchorId="52333570" wp14:editId="7D29E606">
            <wp:extent cx="3652885" cy="3048000"/>
            <wp:effectExtent l="19050" t="19050" r="24130" b="19050"/>
            <wp:docPr id="186290328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5839" cy="3058809"/>
                    </a:xfrm>
                    <a:prstGeom prst="rect">
                      <a:avLst/>
                    </a:prstGeom>
                    <a:noFill/>
                    <a:ln>
                      <a:solidFill>
                        <a:schemeClr val="tx1"/>
                      </a:solidFill>
                    </a:ln>
                  </pic:spPr>
                </pic:pic>
              </a:graphicData>
            </a:graphic>
          </wp:inline>
        </w:drawing>
      </w:r>
    </w:p>
    <w:p w14:paraId="434D4C84" w14:textId="7FD7B955" w:rsidR="00327EFE" w:rsidRPr="004A33E0" w:rsidRDefault="004A33E0" w:rsidP="004A33E0">
      <w:pPr>
        <w:pStyle w:val="Caption"/>
        <w:spacing w:after="120"/>
        <w:jc w:val="center"/>
        <w:rPr>
          <w:rFonts w:eastAsia="Calibri"/>
          <w:b/>
          <w:bCs/>
          <w:i w:val="0"/>
          <w:iCs w:val="0"/>
          <w:sz w:val="22"/>
          <w:szCs w:val="22"/>
        </w:rPr>
      </w:pPr>
      <w:r w:rsidRPr="004A33E0">
        <w:rPr>
          <w:b/>
          <w:bCs/>
          <w:i w:val="0"/>
          <w:iCs w:val="0"/>
          <w:color w:val="auto"/>
          <w:sz w:val="22"/>
          <w:szCs w:val="22"/>
        </w:rPr>
        <w:fldChar w:fldCharType="begin"/>
      </w:r>
      <w:r w:rsidRPr="004A33E0">
        <w:rPr>
          <w:b/>
          <w:bCs/>
          <w:i w:val="0"/>
          <w:iCs w:val="0"/>
          <w:color w:val="auto"/>
          <w:sz w:val="22"/>
          <w:szCs w:val="22"/>
        </w:rPr>
        <w:instrText xml:space="preserve"> SEQ pav. \* ARABIC </w:instrText>
      </w:r>
      <w:r w:rsidRPr="004A33E0">
        <w:rPr>
          <w:b/>
          <w:bCs/>
          <w:i w:val="0"/>
          <w:iCs w:val="0"/>
          <w:color w:val="auto"/>
          <w:sz w:val="22"/>
          <w:szCs w:val="22"/>
        </w:rPr>
        <w:fldChar w:fldCharType="separate"/>
      </w:r>
      <w:r w:rsidR="007608A3">
        <w:rPr>
          <w:b/>
          <w:bCs/>
          <w:i w:val="0"/>
          <w:iCs w:val="0"/>
          <w:noProof/>
          <w:color w:val="auto"/>
          <w:sz w:val="22"/>
          <w:szCs w:val="22"/>
        </w:rPr>
        <w:t>1</w:t>
      </w:r>
      <w:r w:rsidRPr="004A33E0">
        <w:rPr>
          <w:b/>
          <w:bCs/>
          <w:i w:val="0"/>
          <w:iCs w:val="0"/>
          <w:color w:val="auto"/>
          <w:sz w:val="22"/>
          <w:szCs w:val="22"/>
        </w:rPr>
        <w:fldChar w:fldCharType="end"/>
      </w:r>
      <w:r w:rsidRPr="004A33E0">
        <w:rPr>
          <w:b/>
          <w:bCs/>
          <w:i w:val="0"/>
          <w:iCs w:val="0"/>
          <w:color w:val="auto"/>
          <w:sz w:val="22"/>
          <w:szCs w:val="22"/>
        </w:rPr>
        <w:t xml:space="preserve"> </w:t>
      </w:r>
      <w:r w:rsidR="00BA2017" w:rsidRPr="004A33E0">
        <w:rPr>
          <w:rFonts w:eastAsia="Calibri"/>
          <w:b/>
          <w:bCs/>
          <w:i w:val="0"/>
          <w:iCs w:val="0"/>
          <w:color w:val="auto"/>
          <w:sz w:val="22"/>
          <w:szCs w:val="22"/>
        </w:rPr>
        <w:t>pav.</w:t>
      </w:r>
      <w:r w:rsidR="00BA2017" w:rsidRPr="004A33E0">
        <w:rPr>
          <w:rFonts w:eastAsia="Calibri"/>
          <w:b/>
          <w:bCs/>
          <w:color w:val="auto"/>
          <w:sz w:val="22"/>
          <w:szCs w:val="22"/>
        </w:rPr>
        <w:t xml:space="preserve"> </w:t>
      </w:r>
      <w:r w:rsidR="00BA2017" w:rsidRPr="004A33E0">
        <w:rPr>
          <w:rFonts w:eastAsia="Calibri"/>
          <w:i w:val="0"/>
          <w:iCs w:val="0"/>
          <w:color w:val="auto"/>
          <w:sz w:val="22"/>
          <w:szCs w:val="22"/>
        </w:rPr>
        <w:t>Teritorijos, kurioje įgyvendinama Strategija, žemėlapis</w:t>
      </w:r>
    </w:p>
    <w:p w14:paraId="07A4D846" w14:textId="5D5FB3C6" w:rsidR="00BA2017" w:rsidRDefault="00BA2017" w:rsidP="00BA2017">
      <w:pPr>
        <w:tabs>
          <w:tab w:val="left" w:pos="0"/>
          <w:tab w:val="left" w:pos="851"/>
        </w:tabs>
        <w:spacing w:line="276" w:lineRule="auto"/>
        <w:jc w:val="both"/>
        <w:rPr>
          <w:rFonts w:eastAsia="Calibri"/>
          <w:iCs/>
          <w:szCs w:val="24"/>
        </w:rPr>
      </w:pPr>
      <w:r>
        <w:rPr>
          <w:rFonts w:eastAsia="Calibri"/>
          <w:iCs/>
          <w:szCs w:val="24"/>
        </w:rPr>
        <w:tab/>
      </w:r>
      <w:r w:rsidRPr="00BA2017">
        <w:rPr>
          <w:rFonts w:eastAsia="Calibri"/>
          <w:iCs/>
          <w:szCs w:val="24"/>
        </w:rPr>
        <w:t>Teritorijai, kurioje įgyvendinama Strategija</w:t>
      </w:r>
      <w:r w:rsidR="00F16F46">
        <w:rPr>
          <w:rFonts w:eastAsia="Calibri"/>
          <w:iCs/>
          <w:szCs w:val="24"/>
        </w:rPr>
        <w:t xml:space="preserve"> bei pažangos priemonė</w:t>
      </w:r>
      <w:r w:rsidRPr="00BA2017">
        <w:rPr>
          <w:rFonts w:eastAsia="Calibri"/>
          <w:iCs/>
          <w:szCs w:val="24"/>
        </w:rPr>
        <w:t>, būdingi urbanistiniai ypatumai, leidžiantys ją sąlyginai suskirstyti į penkias dalis:</w:t>
      </w:r>
    </w:p>
    <w:p w14:paraId="6A27C728" w14:textId="77777777" w:rsidR="00BA2017" w:rsidRDefault="00BA2017" w:rsidP="00BA2017">
      <w:pPr>
        <w:tabs>
          <w:tab w:val="left" w:pos="0"/>
          <w:tab w:val="left" w:pos="851"/>
        </w:tabs>
        <w:spacing w:line="276" w:lineRule="auto"/>
        <w:jc w:val="both"/>
        <w:rPr>
          <w:rFonts w:eastAsia="Calibri"/>
          <w:iCs/>
          <w:szCs w:val="24"/>
        </w:rPr>
      </w:pPr>
      <w:r>
        <w:rPr>
          <w:rFonts w:eastAsia="Calibri"/>
          <w:iCs/>
          <w:szCs w:val="24"/>
        </w:rPr>
        <w:tab/>
        <w:t xml:space="preserve">1. </w:t>
      </w:r>
      <w:r w:rsidRPr="00BA2017">
        <w:rPr>
          <w:rFonts w:eastAsia="Calibri"/>
          <w:iCs/>
          <w:szCs w:val="24"/>
        </w:rPr>
        <w:t>Pietinę teritorijos dalį, esančią nuo Kauno g. į pietus, kuriai būdingas sovietmečiu susiformavęs ir šiuo metu mažai kintantis užstatymas, santykinai aukštas gyventojų tankis, pakankamas išlaikyti viešąsias paslaugas ir finansuoti infrastruktūrą.</w:t>
      </w:r>
    </w:p>
    <w:p w14:paraId="26597E6C" w14:textId="77777777" w:rsidR="00BA2017" w:rsidRDefault="00BA2017" w:rsidP="00BA2017">
      <w:pPr>
        <w:tabs>
          <w:tab w:val="left" w:pos="0"/>
          <w:tab w:val="left" w:pos="851"/>
        </w:tabs>
        <w:spacing w:line="276" w:lineRule="auto"/>
        <w:jc w:val="both"/>
        <w:rPr>
          <w:rFonts w:eastAsia="Calibri"/>
          <w:iCs/>
          <w:szCs w:val="24"/>
        </w:rPr>
      </w:pPr>
      <w:r>
        <w:rPr>
          <w:rFonts w:eastAsia="Calibri"/>
          <w:iCs/>
          <w:szCs w:val="24"/>
        </w:rPr>
        <w:tab/>
        <w:t xml:space="preserve">2. </w:t>
      </w:r>
      <w:r w:rsidRPr="00BA2017">
        <w:rPr>
          <w:rFonts w:eastAsia="Calibri"/>
          <w:iCs/>
          <w:szCs w:val="24"/>
        </w:rPr>
        <w:t xml:space="preserve">Šiaurinę teritorijos dalį, kurią sudaro teritorija į šiaurę nuo </w:t>
      </w:r>
      <w:proofErr w:type="spellStart"/>
      <w:r w:rsidRPr="00BA2017">
        <w:rPr>
          <w:rFonts w:eastAsia="Calibri"/>
          <w:iCs/>
          <w:szCs w:val="24"/>
        </w:rPr>
        <w:t>Klemiškės</w:t>
      </w:r>
      <w:proofErr w:type="spellEnd"/>
      <w:r w:rsidRPr="00BA2017">
        <w:rPr>
          <w:rFonts w:eastAsia="Calibri"/>
          <w:iCs/>
          <w:szCs w:val="24"/>
        </w:rPr>
        <w:t xml:space="preserve"> g., </w:t>
      </w:r>
      <w:proofErr w:type="spellStart"/>
      <w:r w:rsidRPr="00BA2017">
        <w:rPr>
          <w:rFonts w:eastAsia="Calibri"/>
          <w:iCs/>
          <w:szCs w:val="24"/>
        </w:rPr>
        <w:t>Priestočio</w:t>
      </w:r>
      <w:proofErr w:type="spellEnd"/>
      <w:r w:rsidRPr="00BA2017">
        <w:rPr>
          <w:rFonts w:eastAsia="Calibri"/>
          <w:iCs/>
          <w:szCs w:val="24"/>
        </w:rPr>
        <w:t xml:space="preserve"> g. (daugiausiai – Klaipėdos miesto šiaurinė dalis), kuriai būdingas mišrus užstatymas, įskaitant ir sovietmečiu statytus, ir naujus daugiabučius namus, vietomis įgyjantis priemiesčiui būdingų bruožų.</w:t>
      </w:r>
    </w:p>
    <w:p w14:paraId="0C973239" w14:textId="77777777" w:rsidR="00BA2017" w:rsidRDefault="00BA2017" w:rsidP="00BA2017">
      <w:pPr>
        <w:tabs>
          <w:tab w:val="left" w:pos="0"/>
          <w:tab w:val="left" w:pos="851"/>
        </w:tabs>
        <w:spacing w:line="276" w:lineRule="auto"/>
        <w:jc w:val="both"/>
        <w:rPr>
          <w:rFonts w:eastAsia="Calibri"/>
          <w:iCs/>
          <w:szCs w:val="24"/>
        </w:rPr>
      </w:pPr>
      <w:r>
        <w:rPr>
          <w:rFonts w:eastAsia="Calibri"/>
          <w:iCs/>
          <w:szCs w:val="24"/>
        </w:rPr>
        <w:tab/>
        <w:t xml:space="preserve">3. </w:t>
      </w:r>
      <w:r w:rsidRPr="00BA2017">
        <w:rPr>
          <w:rFonts w:eastAsia="Calibri"/>
          <w:iCs/>
          <w:szCs w:val="24"/>
        </w:rPr>
        <w:t xml:space="preserve">Centrinę teritorijos dalį, apimančią Klaipėdos miesto senamiestį ir centrą tarp Kauno g. ir </w:t>
      </w:r>
      <w:proofErr w:type="spellStart"/>
      <w:r w:rsidRPr="00BA2017">
        <w:rPr>
          <w:rFonts w:eastAsia="Calibri"/>
          <w:iCs/>
          <w:szCs w:val="24"/>
        </w:rPr>
        <w:t>Klemiškės</w:t>
      </w:r>
      <w:proofErr w:type="spellEnd"/>
      <w:r w:rsidRPr="00BA2017">
        <w:rPr>
          <w:rFonts w:eastAsia="Calibri"/>
          <w:iCs/>
          <w:szCs w:val="24"/>
        </w:rPr>
        <w:t xml:space="preserve"> g., </w:t>
      </w:r>
      <w:proofErr w:type="spellStart"/>
      <w:r w:rsidRPr="00BA2017">
        <w:rPr>
          <w:rFonts w:eastAsia="Calibri"/>
          <w:iCs/>
          <w:szCs w:val="24"/>
        </w:rPr>
        <w:t>Priestočio</w:t>
      </w:r>
      <w:proofErr w:type="spellEnd"/>
      <w:r w:rsidRPr="00BA2017">
        <w:rPr>
          <w:rFonts w:eastAsia="Calibri"/>
          <w:iCs/>
          <w:szCs w:val="24"/>
        </w:rPr>
        <w:t xml:space="preserve"> g., kuriai būdinga aukščiausia paslaugų (viešųjų ir privačių) bei darbo vietų koncentracija, pagrindiniai traukos centrai lankomi tiek miesto, tiek priemiesčio gyventojų, tiek turistų.</w:t>
      </w:r>
    </w:p>
    <w:p w14:paraId="0F6F656B" w14:textId="3AA3F0AE" w:rsidR="00F06E76" w:rsidRPr="00057701" w:rsidRDefault="00BA2017" w:rsidP="00BA2017">
      <w:pPr>
        <w:tabs>
          <w:tab w:val="left" w:pos="0"/>
          <w:tab w:val="left" w:pos="851"/>
        </w:tabs>
        <w:spacing w:line="276" w:lineRule="auto"/>
        <w:jc w:val="both"/>
        <w:rPr>
          <w:rFonts w:eastAsia="Calibri"/>
          <w:iCs/>
          <w:szCs w:val="24"/>
        </w:rPr>
      </w:pPr>
      <w:r>
        <w:rPr>
          <w:rFonts w:eastAsia="Calibri"/>
          <w:iCs/>
          <w:szCs w:val="24"/>
        </w:rPr>
        <w:tab/>
        <w:t>4</w:t>
      </w:r>
      <w:r w:rsidRPr="00057701">
        <w:rPr>
          <w:rFonts w:eastAsia="Calibri"/>
          <w:iCs/>
          <w:szCs w:val="24"/>
        </w:rPr>
        <w:t>. Rytinę dalį (į rytus nuo Palangos plento, sutampančio su Klaipėdos miesto administracine riba), kurią didžiąja dalimi užima Klaipėdos rajono savivaldybės teritorij</w:t>
      </w:r>
      <w:r w:rsidR="004D497E">
        <w:rPr>
          <w:rFonts w:eastAsia="Calibri"/>
          <w:iCs/>
          <w:szCs w:val="24"/>
        </w:rPr>
        <w:t>a. Jai</w:t>
      </w:r>
      <w:r w:rsidRPr="00057701">
        <w:rPr>
          <w:rFonts w:eastAsia="Calibri"/>
          <w:iCs/>
          <w:szCs w:val="24"/>
        </w:rPr>
        <w:t xml:space="preserve"> būdingas intensyvus užstatymas individualiais gyvenamaisiais namais, nedidelė viešųjų paslaugų pasiūla. Tai teritorija, susiformavusi veikiant miesto driekos procesams.</w:t>
      </w:r>
    </w:p>
    <w:p w14:paraId="7F61F1DF" w14:textId="29D883A7" w:rsidR="007E2078" w:rsidRPr="00057701" w:rsidRDefault="00F06E76" w:rsidP="00BA2017">
      <w:pPr>
        <w:tabs>
          <w:tab w:val="left" w:pos="0"/>
          <w:tab w:val="left" w:pos="851"/>
        </w:tabs>
        <w:spacing w:line="276" w:lineRule="auto"/>
        <w:jc w:val="both"/>
        <w:rPr>
          <w:rFonts w:eastAsia="Calibri"/>
          <w:iCs/>
          <w:szCs w:val="24"/>
        </w:rPr>
      </w:pPr>
      <w:r w:rsidRPr="00057701">
        <w:rPr>
          <w:rFonts w:eastAsia="Calibri"/>
          <w:iCs/>
          <w:szCs w:val="24"/>
        </w:rPr>
        <w:tab/>
        <w:t xml:space="preserve">5. </w:t>
      </w:r>
      <w:r w:rsidR="00BA2017" w:rsidRPr="00057701">
        <w:rPr>
          <w:rFonts w:eastAsia="Calibri"/>
          <w:iCs/>
          <w:szCs w:val="24"/>
        </w:rPr>
        <w:t>Vakarinę dalį, kurią sudaro iš esmės negyvenamos Klaipėdos miesto teritorijos – uostas ir Smiltynė.</w:t>
      </w:r>
    </w:p>
    <w:p w14:paraId="61019607" w14:textId="482639A9" w:rsidR="0016238C" w:rsidRDefault="0016238C" w:rsidP="0016238C">
      <w:pPr>
        <w:tabs>
          <w:tab w:val="left" w:pos="0"/>
          <w:tab w:val="left" w:pos="851"/>
        </w:tabs>
        <w:spacing w:line="276" w:lineRule="auto"/>
        <w:jc w:val="both"/>
        <w:rPr>
          <w:rFonts w:eastAsia="Calibri"/>
          <w:iCs/>
          <w:szCs w:val="24"/>
        </w:rPr>
      </w:pPr>
      <w:r>
        <w:rPr>
          <w:rFonts w:eastAsia="Calibri"/>
          <w:iCs/>
          <w:szCs w:val="24"/>
        </w:rPr>
        <w:tab/>
      </w:r>
      <w:r w:rsidRPr="00D5612D">
        <w:rPr>
          <w:rFonts w:eastAsia="Calibri"/>
          <w:iCs/>
          <w:szCs w:val="24"/>
        </w:rPr>
        <w:t>Dėl savo ypatumų, teritorijos yra skirtingai veikiamos mieste ir priemiestyje vykstančių procesų, iš kurių itin didelę įtaką turi demografiniai pokyčiai. Registrų centro duomen</w:t>
      </w:r>
      <w:r>
        <w:rPr>
          <w:rFonts w:eastAsia="Calibri"/>
          <w:iCs/>
          <w:szCs w:val="24"/>
        </w:rPr>
        <w:t>imis</w:t>
      </w:r>
      <w:r w:rsidRPr="00D5612D">
        <w:rPr>
          <w:rFonts w:eastAsia="Calibri"/>
          <w:iCs/>
          <w:szCs w:val="24"/>
        </w:rPr>
        <w:t>, 2018–2023 metais plėtra vyko šiaurinėje, rytinėje ir centrinėje Strategijos teritorijos dalyse.</w:t>
      </w:r>
    </w:p>
    <w:p w14:paraId="393067D2" w14:textId="5F1E22D9" w:rsidR="00D5612D" w:rsidRPr="00D5612D" w:rsidRDefault="00A062F7" w:rsidP="0016238C">
      <w:pPr>
        <w:tabs>
          <w:tab w:val="left" w:pos="0"/>
          <w:tab w:val="left" w:pos="851"/>
        </w:tabs>
        <w:spacing w:line="276" w:lineRule="auto"/>
        <w:jc w:val="both"/>
        <w:rPr>
          <w:rFonts w:eastAsia="Calibri"/>
          <w:iCs/>
          <w:szCs w:val="24"/>
        </w:rPr>
      </w:pPr>
      <w:r>
        <w:rPr>
          <w:rFonts w:eastAsia="Calibri"/>
          <w:iCs/>
          <w:szCs w:val="24"/>
        </w:rPr>
        <w:tab/>
      </w:r>
      <w:r w:rsidRPr="00A062F7">
        <w:rPr>
          <w:rFonts w:eastAsia="Calibri"/>
          <w:iCs/>
          <w:szCs w:val="24"/>
        </w:rPr>
        <w:t>Rytinėje Strategijos teritorijos dalyje sparčiai vystomi gyvenamieji kvartalai pritraukia vis daugiau naujakurių, šioje teritorijoje gyventojų skaičius padvigubėjo. Miesto plėtra į centrinę ir šiaurinę Strategijos teritorijos dalis ir toliau augs, nes artimiausiu metu Klaipėdos miesto centre planuojama pastatyti dar ne mažiau</w:t>
      </w:r>
      <w:r w:rsidR="0016238C">
        <w:rPr>
          <w:rFonts w:eastAsia="Calibri"/>
          <w:iCs/>
          <w:szCs w:val="24"/>
        </w:rPr>
        <w:t xml:space="preserve"> </w:t>
      </w:r>
      <w:r w:rsidRPr="00A062F7">
        <w:rPr>
          <w:rFonts w:eastAsia="Calibri"/>
          <w:iCs/>
          <w:szCs w:val="24"/>
        </w:rPr>
        <w:t>kaip 736 butus („</w:t>
      </w:r>
      <w:proofErr w:type="spellStart"/>
      <w:r w:rsidRPr="00A062F7">
        <w:rPr>
          <w:rFonts w:eastAsia="Calibri"/>
          <w:iCs/>
          <w:szCs w:val="24"/>
        </w:rPr>
        <w:t>Memelio</w:t>
      </w:r>
      <w:proofErr w:type="spellEnd"/>
      <w:r w:rsidRPr="00A062F7">
        <w:rPr>
          <w:rFonts w:eastAsia="Calibri"/>
          <w:iCs/>
          <w:szCs w:val="24"/>
        </w:rPr>
        <w:t xml:space="preserve"> miestas“ – 105 butai, „Bastionų namai“ </w:t>
      </w:r>
      <w:r w:rsidRPr="00A062F7">
        <w:rPr>
          <w:rFonts w:eastAsia="Calibri"/>
          <w:iCs/>
          <w:szCs w:val="24"/>
        </w:rPr>
        <w:lastRenderedPageBreak/>
        <w:t xml:space="preserve">– 529 butai, „Parko pakrantė“ – 102 butai), Strategijos teritorijos šiaurinėje dalyje – ne mažiau kaip 1 008 butus („Danės krantas“ – 465 butai, „Klaipėdos Holivudas“ – 443 butai, Medelyno kv. – 100 butų). Butus ar namus dažniausiai įsigyja arba nuomoja jauni darbingo amžiaus gyventojai. Tai patvirtina 2020 metų </w:t>
      </w:r>
      <w:r w:rsidR="000C2B98">
        <w:rPr>
          <w:rFonts w:eastAsia="Calibri"/>
          <w:iCs/>
          <w:szCs w:val="24"/>
        </w:rPr>
        <w:t xml:space="preserve">AB </w:t>
      </w:r>
      <w:r w:rsidRPr="00A062F7">
        <w:rPr>
          <w:rFonts w:eastAsia="Calibri"/>
          <w:iCs/>
          <w:szCs w:val="24"/>
        </w:rPr>
        <w:t>Swedbank</w:t>
      </w:r>
      <w:r w:rsidR="000C2B98">
        <w:rPr>
          <w:rFonts w:eastAsia="Calibri"/>
          <w:iCs/>
          <w:szCs w:val="24"/>
        </w:rPr>
        <w:t xml:space="preserve"> </w:t>
      </w:r>
      <w:r w:rsidRPr="00A062F7">
        <w:rPr>
          <w:rFonts w:eastAsia="Calibri"/>
          <w:iCs/>
          <w:szCs w:val="24"/>
        </w:rPr>
        <w:t xml:space="preserve">duomenys, rodantys, kad būsto pirkėjo profilis – 27–31 amžiaus (vidutinis klientų amžius – 34 metai), gaunantis didesnes nei vidutines pajamas gyventojas, be to, 2022 metų Registrų centro duomenys rodo, kad būsto pirkėjai pagal amžių pasiskirstė taip: 27 proc. pirkėjų jaunesni nei 35 metų, </w:t>
      </w:r>
      <w:r w:rsidR="008D422B">
        <w:rPr>
          <w:rFonts w:eastAsia="Calibri"/>
          <w:iCs/>
          <w:szCs w:val="24"/>
        </w:rPr>
        <w:t xml:space="preserve">23 proc. – </w:t>
      </w:r>
      <w:r w:rsidRPr="00A062F7">
        <w:rPr>
          <w:rFonts w:eastAsia="Calibri"/>
          <w:iCs/>
          <w:szCs w:val="24"/>
        </w:rPr>
        <w:t xml:space="preserve">35–44 metų amžiaus, </w:t>
      </w:r>
      <w:r w:rsidR="008D422B">
        <w:rPr>
          <w:rFonts w:eastAsia="Calibri"/>
          <w:iCs/>
          <w:szCs w:val="24"/>
        </w:rPr>
        <w:t xml:space="preserve">19 proc. – </w:t>
      </w:r>
      <w:r w:rsidRPr="00A062F7">
        <w:rPr>
          <w:rFonts w:eastAsia="Calibri"/>
          <w:iCs/>
          <w:szCs w:val="24"/>
        </w:rPr>
        <w:t>45–54 metų</w:t>
      </w:r>
      <w:r w:rsidR="00B31541">
        <w:rPr>
          <w:rFonts w:eastAsia="Calibri"/>
          <w:iCs/>
          <w:szCs w:val="24"/>
        </w:rPr>
        <w:t xml:space="preserve"> amžiaus</w:t>
      </w:r>
      <w:r w:rsidRPr="00A062F7">
        <w:rPr>
          <w:rFonts w:eastAsia="Calibri"/>
          <w:iCs/>
          <w:szCs w:val="24"/>
        </w:rPr>
        <w:t xml:space="preserve">, </w:t>
      </w:r>
      <w:r w:rsidR="008D422B">
        <w:rPr>
          <w:rFonts w:eastAsia="Calibri"/>
          <w:iCs/>
          <w:szCs w:val="24"/>
        </w:rPr>
        <w:t xml:space="preserve">15 proc. – </w:t>
      </w:r>
      <w:r w:rsidRPr="00A062F7">
        <w:rPr>
          <w:rFonts w:eastAsia="Calibri"/>
          <w:iCs/>
          <w:szCs w:val="24"/>
        </w:rPr>
        <w:t>55–64 metų</w:t>
      </w:r>
      <w:r w:rsidR="00B31541">
        <w:rPr>
          <w:rFonts w:eastAsia="Calibri"/>
          <w:iCs/>
          <w:szCs w:val="24"/>
        </w:rPr>
        <w:t xml:space="preserve"> amžiaus</w:t>
      </w:r>
      <w:r w:rsidRPr="00A062F7">
        <w:rPr>
          <w:rFonts w:eastAsia="Calibri"/>
          <w:iCs/>
          <w:szCs w:val="24"/>
        </w:rPr>
        <w:t xml:space="preserve">, </w:t>
      </w:r>
      <w:r w:rsidR="008D422B">
        <w:rPr>
          <w:rFonts w:eastAsia="Calibri"/>
          <w:iCs/>
          <w:szCs w:val="24"/>
        </w:rPr>
        <w:t xml:space="preserve">16 proc. –  </w:t>
      </w:r>
      <w:r w:rsidRPr="00A062F7">
        <w:rPr>
          <w:rFonts w:eastAsia="Calibri"/>
          <w:iCs/>
          <w:szCs w:val="24"/>
        </w:rPr>
        <w:t>65 metų ir vyresn</w:t>
      </w:r>
      <w:r w:rsidR="00B31541">
        <w:rPr>
          <w:rFonts w:eastAsia="Calibri"/>
          <w:iCs/>
          <w:szCs w:val="24"/>
        </w:rPr>
        <w:t>i</w:t>
      </w:r>
      <w:r w:rsidR="008D422B">
        <w:rPr>
          <w:rFonts w:eastAsia="Calibri"/>
          <w:iCs/>
          <w:szCs w:val="24"/>
        </w:rPr>
        <w:t xml:space="preserve">. </w:t>
      </w:r>
    </w:p>
    <w:p w14:paraId="110BBFFB" w14:textId="6D5FB9EA" w:rsidR="00D5612D" w:rsidRPr="00D5612D" w:rsidRDefault="00D5612D" w:rsidP="00D5612D">
      <w:pPr>
        <w:tabs>
          <w:tab w:val="left" w:pos="0"/>
          <w:tab w:val="left" w:pos="851"/>
        </w:tabs>
        <w:spacing w:line="276" w:lineRule="auto"/>
        <w:jc w:val="both"/>
        <w:rPr>
          <w:rFonts w:eastAsia="Calibri"/>
          <w:iCs/>
          <w:szCs w:val="24"/>
        </w:rPr>
      </w:pPr>
      <w:r>
        <w:rPr>
          <w:rFonts w:eastAsia="Calibri"/>
          <w:iCs/>
          <w:szCs w:val="24"/>
        </w:rPr>
        <w:tab/>
      </w:r>
      <w:r w:rsidRPr="00D5612D">
        <w:rPr>
          <w:rFonts w:eastAsia="Calibri"/>
          <w:iCs/>
          <w:szCs w:val="24"/>
        </w:rPr>
        <w:t>Gyventojų pasiskirstymo pagal amžių rytinėje, šiaurinėje ir centrinėje Strategijos teritorijos dalyje duomenys rodo, kad daugiausiai augo vaikų nuo 0 iki 6 metų ir darbingo amžiaus gyventojų nuo 34 iki 50 metų skaičius.</w:t>
      </w:r>
    </w:p>
    <w:p w14:paraId="0AD0A7C0" w14:textId="48B13CB1" w:rsidR="00D5612D" w:rsidRPr="00D5612D" w:rsidRDefault="00D5612D" w:rsidP="00D5612D">
      <w:pPr>
        <w:tabs>
          <w:tab w:val="left" w:pos="0"/>
          <w:tab w:val="left" w:pos="851"/>
        </w:tabs>
        <w:spacing w:line="276" w:lineRule="auto"/>
        <w:jc w:val="both"/>
        <w:rPr>
          <w:rFonts w:eastAsia="Calibri"/>
          <w:iCs/>
          <w:szCs w:val="24"/>
        </w:rPr>
      </w:pPr>
      <w:r>
        <w:rPr>
          <w:rFonts w:eastAsia="Calibri"/>
          <w:iCs/>
          <w:szCs w:val="24"/>
        </w:rPr>
        <w:tab/>
      </w:r>
      <w:r w:rsidRPr="00D5612D">
        <w:rPr>
          <w:rFonts w:eastAsia="Calibri"/>
          <w:iCs/>
          <w:szCs w:val="24"/>
        </w:rPr>
        <w:t>Klaipėdos miesto gyventojams išsikeliant gyventi į priemiesčius, darbo vietoms, viešųjų paslaugų teikėjams liekant mieste, miestas turi aptarnauti vis didesnę teritoriją. Vystant naujai įsisavinamas teritorijas ir modernizuojant anksčiau urbanizuotas (ypač gyvenamąsias teritorijas) nebuvo praktikos (Lietuvos Respublikos Seimas Lietuvos Respublikos savivaldybių infrastruktūros plėtros įstatym</w:t>
      </w:r>
      <w:r w:rsidR="005647E6">
        <w:rPr>
          <w:rFonts w:eastAsia="Calibri"/>
          <w:iCs/>
          <w:szCs w:val="24"/>
        </w:rPr>
        <w:t>ą</w:t>
      </w:r>
      <w:r w:rsidRPr="00D5612D">
        <w:rPr>
          <w:rFonts w:eastAsia="Calibri"/>
          <w:iCs/>
          <w:szCs w:val="24"/>
        </w:rPr>
        <w:t xml:space="preserve"> </w:t>
      </w:r>
      <w:r w:rsidR="005647E6">
        <w:rPr>
          <w:rFonts w:eastAsia="Calibri"/>
          <w:iCs/>
          <w:szCs w:val="24"/>
        </w:rPr>
        <w:t>patvirtino</w:t>
      </w:r>
      <w:r w:rsidRPr="00D5612D">
        <w:rPr>
          <w:rFonts w:eastAsia="Calibri"/>
          <w:iCs/>
          <w:szCs w:val="24"/>
        </w:rPr>
        <w:t xml:space="preserve"> 2020 m. gegužės 7 d.) vystyti periferinius centrus. Viešųjų paslaugų plėtra nevyko kartu su gyvenamųjų kvartalų plėtra. Rytinei (iš dalies ir šiaurinei) teritorijos daliai ilgą laiką buvo būdinga, kad privatūs kvartalai vystomi be būtinos socialinės infrastruktūros ir viešųjų erdvių</w:t>
      </w:r>
      <w:r w:rsidR="0016238C">
        <w:rPr>
          <w:rFonts w:eastAsia="Calibri"/>
          <w:iCs/>
          <w:szCs w:val="24"/>
        </w:rPr>
        <w:t>, t</w:t>
      </w:r>
      <w:r w:rsidRPr="00D5612D">
        <w:rPr>
          <w:rFonts w:eastAsia="Calibri"/>
          <w:iCs/>
          <w:szCs w:val="24"/>
        </w:rPr>
        <w:t>odėl vėliau</w:t>
      </w:r>
      <w:r w:rsidR="0016238C">
        <w:rPr>
          <w:rFonts w:eastAsia="Calibri"/>
          <w:iCs/>
          <w:szCs w:val="24"/>
        </w:rPr>
        <w:t>,</w:t>
      </w:r>
      <w:r w:rsidRPr="00D5612D">
        <w:rPr>
          <w:rFonts w:eastAsia="Calibri"/>
          <w:iCs/>
          <w:szCs w:val="24"/>
        </w:rPr>
        <w:t xml:space="preserve"> siekiant įrengti trūkstamą susisiekimo infrastruktūrą</w:t>
      </w:r>
      <w:r w:rsidR="0016238C">
        <w:rPr>
          <w:rFonts w:eastAsia="Calibri"/>
          <w:iCs/>
          <w:szCs w:val="24"/>
        </w:rPr>
        <w:t>,</w:t>
      </w:r>
      <w:r w:rsidRPr="00D5612D">
        <w:rPr>
          <w:rFonts w:eastAsia="Calibri"/>
          <w:iCs/>
          <w:szCs w:val="24"/>
        </w:rPr>
        <w:t xml:space="preserve"> priemiesčio teritorijose, </w:t>
      </w:r>
      <w:r w:rsidR="0016238C">
        <w:rPr>
          <w:rFonts w:eastAsia="Calibri"/>
          <w:iCs/>
          <w:szCs w:val="24"/>
        </w:rPr>
        <w:t>susidurta</w:t>
      </w:r>
      <w:r w:rsidRPr="00D5612D">
        <w:rPr>
          <w:rFonts w:eastAsia="Calibri"/>
          <w:iCs/>
          <w:szCs w:val="24"/>
        </w:rPr>
        <w:t xml:space="preserve"> su žemės trūkumo problema: trūksta žemės pėsčiųjų ir dviračių tak</w:t>
      </w:r>
      <w:r w:rsidR="0016238C">
        <w:rPr>
          <w:rFonts w:eastAsia="Calibri"/>
          <w:iCs/>
          <w:szCs w:val="24"/>
        </w:rPr>
        <w:t>ams</w:t>
      </w:r>
      <w:r w:rsidRPr="00D5612D">
        <w:rPr>
          <w:rFonts w:eastAsia="Calibri"/>
          <w:iCs/>
          <w:szCs w:val="24"/>
        </w:rPr>
        <w:t>, apšvietimo, autobusų stotelių įrengimui. Šiai infrastruktūrai įrengti reikalinga vykdyti žemės paėmimo visuomenės poreikiams procedūras.</w:t>
      </w:r>
    </w:p>
    <w:p w14:paraId="01C020A2" w14:textId="28B99ECC" w:rsidR="00D5612D" w:rsidRPr="00D5612D" w:rsidRDefault="00D5612D" w:rsidP="00D5612D">
      <w:pPr>
        <w:tabs>
          <w:tab w:val="left" w:pos="0"/>
          <w:tab w:val="left" w:pos="851"/>
        </w:tabs>
        <w:spacing w:line="276" w:lineRule="auto"/>
        <w:jc w:val="both"/>
        <w:rPr>
          <w:rFonts w:eastAsia="Calibri"/>
          <w:iCs/>
          <w:szCs w:val="24"/>
        </w:rPr>
      </w:pPr>
      <w:r>
        <w:rPr>
          <w:rFonts w:eastAsia="Calibri"/>
          <w:iCs/>
          <w:szCs w:val="24"/>
        </w:rPr>
        <w:tab/>
      </w:r>
      <w:r w:rsidRPr="00D5612D">
        <w:rPr>
          <w:rFonts w:eastAsia="Calibri"/>
          <w:iCs/>
          <w:szCs w:val="24"/>
        </w:rPr>
        <w:t>2022 m. Klaipėdos valstybinė kolegija</w:t>
      </w:r>
      <w:r w:rsidR="005647E6">
        <w:rPr>
          <w:rFonts w:eastAsia="Calibri"/>
          <w:iCs/>
          <w:szCs w:val="24"/>
        </w:rPr>
        <w:t>,</w:t>
      </w:r>
      <w:r w:rsidRPr="00D5612D">
        <w:rPr>
          <w:rFonts w:eastAsia="Calibri"/>
          <w:iCs/>
          <w:szCs w:val="24"/>
        </w:rPr>
        <w:t xml:space="preserve"> Klaipėdos miesto savivaldybės administracijos užsakymu</w:t>
      </w:r>
      <w:r w:rsidR="005647E6">
        <w:rPr>
          <w:rFonts w:eastAsia="Calibri"/>
          <w:iCs/>
          <w:szCs w:val="24"/>
        </w:rPr>
        <w:t>,</w:t>
      </w:r>
      <w:r w:rsidRPr="00D5612D">
        <w:rPr>
          <w:rFonts w:eastAsia="Calibri"/>
          <w:iCs/>
          <w:szCs w:val="24"/>
        </w:rPr>
        <w:t xml:space="preserve"> atliko Klaipėdos miesto ir priemiesčių gyventojų keliavimo įpročių tyrimą, kuris parodė, kad, lyginant 2017 m. ir 2022 m., kelionių skaičius, tenkantis vienam gyventojui per savaitę darbo tikslais, išaugo nuo vidutiniškai 2,17 iki 4,8 kelionių per savaitę, mokymosi tikslais (mokykla, darželis) – 92,77 proc. (nuo 2,49 iki 4,8 kelionių per savaitę), o kitais tikslais – 96,32 proc. (nuo 1,63 iki 3,2 kelionių per savaitę)</w:t>
      </w:r>
      <w:r w:rsidR="005647E6">
        <w:rPr>
          <w:rFonts w:eastAsia="Calibri"/>
          <w:iCs/>
          <w:szCs w:val="24"/>
        </w:rPr>
        <w:t xml:space="preserve">. Taigi </w:t>
      </w:r>
      <w:r w:rsidRPr="00D5612D">
        <w:rPr>
          <w:rFonts w:eastAsia="Calibri"/>
          <w:iCs/>
          <w:szCs w:val="24"/>
        </w:rPr>
        <w:t>padidėjo poreikis keliauti į paslaugų ar darbo vietas, kurios anksčiau buvo pasiekiamos artimoje aplinkoje. Transporto rūšies naudojimo dažnumo analizė parodė, kad keliavimas individualiu automobiliu išaugo nuo 36 proc. 2017 m. iki 39 proc. 2022 m.  Dėl transporto srautų didėjimo laikas prarandamas spūstyse, didėja neigiamas poveikis aplinkai. Kyla poreikis spręsti problemas, susijusias su transporto srautų valdymu ir racionaliu darbo bei gyvenamųjų vietų išdėstymu, siekiant išvengti šiltnamio efektą sukeliančių CO2 dujų, kietųjų dalelių (KD10) ir kitų žmogui bei aplinkai kenksmingų cheminių junginių išmetimų.</w:t>
      </w:r>
    </w:p>
    <w:p w14:paraId="42B09CF3" w14:textId="4E7817D3" w:rsidR="00D5612D" w:rsidRPr="00D5612D" w:rsidRDefault="00D5612D" w:rsidP="00D5612D">
      <w:pPr>
        <w:tabs>
          <w:tab w:val="left" w:pos="0"/>
          <w:tab w:val="left" w:pos="851"/>
        </w:tabs>
        <w:spacing w:line="276" w:lineRule="auto"/>
        <w:jc w:val="both"/>
        <w:rPr>
          <w:rFonts w:eastAsia="Calibri"/>
          <w:iCs/>
          <w:szCs w:val="24"/>
        </w:rPr>
      </w:pPr>
      <w:r>
        <w:rPr>
          <w:rFonts w:eastAsia="Calibri"/>
          <w:iCs/>
          <w:szCs w:val="24"/>
        </w:rPr>
        <w:tab/>
      </w:r>
      <w:r w:rsidRPr="00D5612D">
        <w:rPr>
          <w:rFonts w:eastAsia="Calibri"/>
          <w:iCs/>
          <w:szCs w:val="24"/>
        </w:rPr>
        <w:t>Spartėjanti urbanizacija mieste ir priemiestyje kelia nemenkų iššūkių viešųjų erdvių ir žaliųjų plotų išsaugojimui ir (ar) plėtrai. Klaipėdos regiono driekos indeksas (110,71) užima trečią vietą tarp Lietuvos regionų (po Kauno (130,63) ir Vilniaus (164,92)</w:t>
      </w:r>
      <w:r w:rsidR="0016238C">
        <w:rPr>
          <w:rFonts w:eastAsia="Calibri"/>
          <w:iCs/>
          <w:szCs w:val="24"/>
        </w:rPr>
        <w:t>)</w:t>
      </w:r>
      <w:r w:rsidRPr="00D5612D">
        <w:rPr>
          <w:rFonts w:eastAsia="Calibri"/>
          <w:iCs/>
          <w:szCs w:val="24"/>
        </w:rPr>
        <w:t xml:space="preserve">, </w:t>
      </w:r>
      <w:r w:rsidR="0016238C">
        <w:rPr>
          <w:rFonts w:eastAsia="Calibri"/>
          <w:iCs/>
          <w:szCs w:val="24"/>
        </w:rPr>
        <w:t xml:space="preserve">todėl </w:t>
      </w:r>
      <w:r w:rsidRPr="00D5612D">
        <w:rPr>
          <w:rFonts w:eastAsia="Calibri"/>
          <w:iCs/>
          <w:szCs w:val="24"/>
        </w:rPr>
        <w:t xml:space="preserve">kyla grėsmė prarasti miestą supančias ir (ar) mieste esančias žaliąsias erdves, gamtinę aplinką. Būtina užtikrinti, kad žalieji plotai nebūtų naikinami, nes jie yra svarbūs kovojant su klimato kaita, </w:t>
      </w:r>
      <w:r w:rsidR="005647E6">
        <w:rPr>
          <w:rFonts w:eastAsia="Calibri"/>
          <w:iCs/>
          <w:szCs w:val="24"/>
        </w:rPr>
        <w:t>mažinant</w:t>
      </w:r>
      <w:r w:rsidRPr="00D5612D">
        <w:rPr>
          <w:rFonts w:eastAsia="Calibri"/>
          <w:iCs/>
          <w:szCs w:val="24"/>
        </w:rPr>
        <w:t xml:space="preserve"> </w:t>
      </w:r>
      <w:r w:rsidR="005647E6">
        <w:rPr>
          <w:rFonts w:eastAsia="Calibri"/>
          <w:iCs/>
          <w:szCs w:val="24"/>
        </w:rPr>
        <w:t>taršą</w:t>
      </w:r>
      <w:r w:rsidRPr="00D5612D">
        <w:rPr>
          <w:rFonts w:eastAsia="Calibri"/>
          <w:iCs/>
          <w:szCs w:val="24"/>
        </w:rPr>
        <w:t xml:space="preserve"> kietosiomis dalelėmis.</w:t>
      </w:r>
    </w:p>
    <w:p w14:paraId="30174554" w14:textId="245A6A14" w:rsidR="006D41CA" w:rsidRDefault="00D5612D" w:rsidP="00D5612D">
      <w:pPr>
        <w:tabs>
          <w:tab w:val="left" w:pos="0"/>
          <w:tab w:val="left" w:pos="851"/>
        </w:tabs>
        <w:spacing w:line="276" w:lineRule="auto"/>
        <w:jc w:val="both"/>
        <w:rPr>
          <w:rFonts w:eastAsia="Calibri"/>
          <w:iCs/>
          <w:szCs w:val="24"/>
        </w:rPr>
      </w:pPr>
      <w:r>
        <w:rPr>
          <w:rFonts w:eastAsia="Calibri"/>
          <w:iCs/>
          <w:szCs w:val="24"/>
        </w:rPr>
        <w:tab/>
      </w:r>
      <w:r w:rsidRPr="00D5612D">
        <w:rPr>
          <w:rFonts w:eastAsia="Calibri"/>
          <w:iCs/>
          <w:szCs w:val="24"/>
        </w:rPr>
        <w:t xml:space="preserve">Siekiant kokybinio pokyčio, </w:t>
      </w:r>
      <w:r w:rsidR="002624E1">
        <w:rPr>
          <w:rFonts w:eastAsia="Calibri"/>
          <w:iCs/>
          <w:szCs w:val="24"/>
        </w:rPr>
        <w:t>būtina</w:t>
      </w:r>
      <w:r w:rsidR="0016238C">
        <w:rPr>
          <w:rFonts w:eastAsia="Calibri"/>
          <w:iCs/>
          <w:szCs w:val="24"/>
        </w:rPr>
        <w:t xml:space="preserve"> dėmesį skirti</w:t>
      </w:r>
      <w:r w:rsidRPr="00D5612D">
        <w:rPr>
          <w:rFonts w:eastAsia="Calibri"/>
          <w:iCs/>
          <w:szCs w:val="24"/>
        </w:rPr>
        <w:t xml:space="preserve"> tvarumo ir sumanumo principams, bendradarbiavimui tarp Klaipėdos miesto ir rajono savivaldybių, kartu sprendžiant viešųjų paslaugų prieinamumo, aplinkos taršos ir saugumo </w:t>
      </w:r>
      <w:r w:rsidR="0016238C">
        <w:rPr>
          <w:rFonts w:eastAsia="Calibri"/>
          <w:iCs/>
          <w:szCs w:val="24"/>
        </w:rPr>
        <w:t>bei</w:t>
      </w:r>
      <w:r w:rsidRPr="00D5612D">
        <w:rPr>
          <w:rFonts w:eastAsia="Calibri"/>
          <w:iCs/>
          <w:szCs w:val="24"/>
        </w:rPr>
        <w:t xml:space="preserve"> kitas tarpusavyje susijusias problemas</w:t>
      </w:r>
      <w:r w:rsidR="006D41CA">
        <w:rPr>
          <w:rFonts w:eastAsia="Calibri"/>
          <w:iCs/>
          <w:szCs w:val="24"/>
        </w:rPr>
        <w:t>.</w:t>
      </w:r>
      <w:r w:rsidRPr="00D5612D">
        <w:rPr>
          <w:rFonts w:eastAsia="Calibri"/>
          <w:iCs/>
          <w:szCs w:val="24"/>
        </w:rPr>
        <w:t xml:space="preserve"> </w:t>
      </w:r>
      <w:r w:rsidR="006D41CA">
        <w:rPr>
          <w:rFonts w:eastAsia="Calibri"/>
          <w:iCs/>
          <w:szCs w:val="24"/>
        </w:rPr>
        <w:t>U</w:t>
      </w:r>
      <w:r w:rsidRPr="00D5612D">
        <w:rPr>
          <w:rFonts w:eastAsia="Calibri"/>
          <w:iCs/>
          <w:szCs w:val="24"/>
        </w:rPr>
        <w:t>žtikrin</w:t>
      </w:r>
      <w:r w:rsidR="006D41CA">
        <w:rPr>
          <w:rFonts w:eastAsia="Calibri"/>
          <w:iCs/>
          <w:szCs w:val="24"/>
        </w:rPr>
        <w:t xml:space="preserve">ti </w:t>
      </w:r>
      <w:r w:rsidRPr="00D5612D">
        <w:rPr>
          <w:rFonts w:eastAsia="Calibri"/>
          <w:iCs/>
          <w:szCs w:val="24"/>
        </w:rPr>
        <w:t xml:space="preserve">ekonominiu požiūriu svarbų racionalų darbo ir gyvenamųjų vietų išdėstymą ir jų jungtis. </w:t>
      </w:r>
    </w:p>
    <w:p w14:paraId="378104E8" w14:textId="50515D9C" w:rsidR="006D41CA" w:rsidRPr="00423594" w:rsidRDefault="006D41CA" w:rsidP="006D41CA">
      <w:pPr>
        <w:tabs>
          <w:tab w:val="left" w:pos="598"/>
        </w:tabs>
        <w:spacing w:line="276" w:lineRule="auto"/>
        <w:ind w:firstLine="851"/>
        <w:jc w:val="both"/>
        <w:rPr>
          <w:rFonts w:eastAsia="Calibri"/>
          <w:iCs/>
          <w:szCs w:val="22"/>
        </w:rPr>
      </w:pPr>
      <w:r>
        <w:rPr>
          <w:rFonts w:eastAsia="Calibri"/>
          <w:iCs/>
          <w:szCs w:val="24"/>
        </w:rPr>
        <w:lastRenderedPageBreak/>
        <w:t xml:space="preserve">Atsižvelgiant į tai, </w:t>
      </w:r>
      <w:r w:rsidRPr="00057701">
        <w:rPr>
          <w:rFonts w:eastAsia="Calibri"/>
          <w:iCs/>
          <w:szCs w:val="24"/>
        </w:rPr>
        <w:t xml:space="preserve">Strategijos </w:t>
      </w:r>
      <w:r>
        <w:rPr>
          <w:rFonts w:eastAsia="Calibri"/>
          <w:iCs/>
          <w:szCs w:val="24"/>
        </w:rPr>
        <w:t xml:space="preserve">ir pažangos priemonės </w:t>
      </w:r>
      <w:r w:rsidRPr="00057701">
        <w:rPr>
          <w:rFonts w:eastAsia="Calibri"/>
          <w:b/>
          <w:bCs/>
          <w:iCs/>
          <w:szCs w:val="24"/>
        </w:rPr>
        <w:t>tikslinė grupė</w:t>
      </w:r>
      <w:r w:rsidRPr="00057701">
        <w:rPr>
          <w:rFonts w:eastAsia="Calibri"/>
          <w:iCs/>
          <w:szCs w:val="24"/>
        </w:rPr>
        <w:t xml:space="preserve"> – Klaipėdos miesto ir priemiesčio gyventojai. </w:t>
      </w:r>
      <w:r w:rsidRPr="00BA2017">
        <w:rPr>
          <w:rFonts w:eastAsia="Calibri"/>
          <w:iCs/>
          <w:szCs w:val="22"/>
        </w:rPr>
        <w:t>Remiantis 2021 m. Lietuvos gyventojų surašymo duomenimis, miesto ir priemiesčio teritorijoje gyveno 162 208 gyventojai (Klaipėdos mieste – 152 008, priemiesčio teritorijoje – 10 200 gyventojų)</w:t>
      </w:r>
      <w:r>
        <w:rPr>
          <w:rFonts w:eastAsia="Calibri"/>
          <w:iCs/>
          <w:szCs w:val="22"/>
        </w:rPr>
        <w:t>.</w:t>
      </w:r>
    </w:p>
    <w:p w14:paraId="312757F6" w14:textId="4A91B500" w:rsidR="007E2078" w:rsidRPr="00057701" w:rsidRDefault="006D41CA" w:rsidP="00D5612D">
      <w:pPr>
        <w:tabs>
          <w:tab w:val="left" w:pos="0"/>
          <w:tab w:val="left" w:pos="851"/>
        </w:tabs>
        <w:spacing w:line="276" w:lineRule="auto"/>
        <w:jc w:val="both"/>
        <w:rPr>
          <w:rFonts w:eastAsia="Calibri"/>
          <w:iCs/>
          <w:szCs w:val="24"/>
        </w:rPr>
      </w:pPr>
      <w:r w:rsidRPr="00057701">
        <w:rPr>
          <w:rFonts w:eastAsia="Calibri"/>
          <w:iCs/>
          <w:szCs w:val="24"/>
        </w:rPr>
        <w:tab/>
      </w:r>
      <w:r w:rsidRPr="00BD2B53">
        <w:rPr>
          <w:rFonts w:eastAsia="Calibri"/>
          <w:b/>
          <w:bCs/>
          <w:iCs/>
          <w:szCs w:val="24"/>
        </w:rPr>
        <w:t>Strategija</w:t>
      </w:r>
      <w:r w:rsidRPr="0016238C">
        <w:rPr>
          <w:rFonts w:eastAsia="Calibri"/>
          <w:iCs/>
          <w:szCs w:val="24"/>
        </w:rPr>
        <w:t>, kuri prisideda prie pažangos priemonės įgyvendinimo,</w:t>
      </w:r>
      <w:r w:rsidRPr="00BD2B53">
        <w:rPr>
          <w:rFonts w:eastAsia="Calibri"/>
          <w:b/>
          <w:bCs/>
          <w:iCs/>
          <w:szCs w:val="24"/>
        </w:rPr>
        <w:t xml:space="preserve"> sprendžiama problema</w:t>
      </w:r>
      <w:r w:rsidRPr="00057701">
        <w:rPr>
          <w:rFonts w:eastAsia="Calibri"/>
          <w:iCs/>
          <w:szCs w:val="24"/>
        </w:rPr>
        <w:t xml:space="preserve"> – nesubalansuota</w:t>
      </w:r>
      <w:r>
        <w:rPr>
          <w:rFonts w:eastAsia="Calibri"/>
          <w:iCs/>
          <w:szCs w:val="24"/>
        </w:rPr>
        <w:t xml:space="preserve"> Strategijos teritorijos plėtra. </w:t>
      </w:r>
      <w:r w:rsidR="00D5612D" w:rsidRPr="00D5612D">
        <w:rPr>
          <w:rFonts w:eastAsia="Calibri"/>
          <w:iCs/>
          <w:szCs w:val="24"/>
        </w:rPr>
        <w:t xml:space="preserve">Problemos mastas ir ją lemiančių aplinkos, klimato kaitos, socialinių ir ekonominių procesų sąveika reikalauja integruotų sprendimų ir už Strategijos teritoriją atsakingų savivaldybių bendro veikimo. </w:t>
      </w:r>
      <w:r>
        <w:rPr>
          <w:rFonts w:eastAsia="Calibri"/>
          <w:iCs/>
          <w:szCs w:val="24"/>
        </w:rPr>
        <w:t>Šiam</w:t>
      </w:r>
      <w:r w:rsidR="00D5612D" w:rsidRPr="00D5612D">
        <w:rPr>
          <w:rFonts w:eastAsia="Calibri"/>
          <w:iCs/>
          <w:szCs w:val="24"/>
        </w:rPr>
        <w:t xml:space="preserve"> prielaidas sudaro jau esami funkciniai ryšiai – integrali, abiejų </w:t>
      </w:r>
      <w:r>
        <w:rPr>
          <w:rFonts w:eastAsia="Calibri"/>
          <w:iCs/>
          <w:szCs w:val="24"/>
        </w:rPr>
        <w:t>S</w:t>
      </w:r>
      <w:r w:rsidR="00D5612D" w:rsidRPr="00D5612D">
        <w:rPr>
          <w:rFonts w:eastAsia="Calibri"/>
          <w:iCs/>
          <w:szCs w:val="24"/>
        </w:rPr>
        <w:t>trategiją įgyvendinančių savivaldybių bendrai valdoma viešojo transporto sistema (Klaipėdos rajono savivaldybės  ir VšĮ „Klaipėdos keleivinis transportas“ 2022 m. gruodžio 20 d. sutarties Nr. AS-2381 pagrindu), Klaipėdos rajono savivaldybės vaikams Klaipėdos miesto savivaldybės ikimokyklinio ugdymo įstaigose teikiamos paslaugos (Klaipėdos miesto savivaldybė su Klaipėdos rajono savivaldybe yra pasirašiusi Klaipėdos rajono savivaldybės teritorijoje gyvenančių mokinių, besimokančių Klaipėdos miesto savivaldybės bendrojo ugdymo mokyklose, mokyklos ūkio išlaidų kompensavimo sutartį (pritarta Klaipėdos miesto tarybos 2015 m. sprendimu Nr. T2-335 ir Klaipėdos rajono savivaldybės 2016 m. sausio 28 d. sprendimu Nr. T11-2)</w:t>
      </w:r>
      <w:r w:rsidR="002624E1">
        <w:rPr>
          <w:rFonts w:eastAsia="Calibri"/>
          <w:iCs/>
          <w:szCs w:val="24"/>
        </w:rPr>
        <w:t>)</w:t>
      </w:r>
      <w:r w:rsidR="00D5612D" w:rsidRPr="00D5612D">
        <w:rPr>
          <w:rFonts w:eastAsia="Calibri"/>
          <w:iCs/>
          <w:szCs w:val="24"/>
        </w:rPr>
        <w:t xml:space="preserve">, sveikatos ir socialinės paslaugos Strategijos teritorijos gyventojams teikiamos nepriklausomai nuo jų gyvenamosios vietos. Tai </w:t>
      </w:r>
      <w:r>
        <w:rPr>
          <w:rFonts w:eastAsia="Calibri"/>
          <w:iCs/>
          <w:szCs w:val="24"/>
        </w:rPr>
        <w:t>leidžia</w:t>
      </w:r>
      <w:r w:rsidR="00D5612D" w:rsidRPr="00D5612D">
        <w:rPr>
          <w:rFonts w:eastAsia="Calibri"/>
          <w:iCs/>
          <w:szCs w:val="24"/>
        </w:rPr>
        <w:t xml:space="preserve"> įgyvendinant </w:t>
      </w:r>
      <w:r w:rsidR="002624E1">
        <w:rPr>
          <w:rFonts w:eastAsia="Calibri"/>
          <w:iCs/>
          <w:szCs w:val="24"/>
        </w:rPr>
        <w:t>S</w:t>
      </w:r>
      <w:r w:rsidR="00D5612D" w:rsidRPr="00D5612D">
        <w:rPr>
          <w:rFonts w:eastAsia="Calibri"/>
          <w:iCs/>
          <w:szCs w:val="24"/>
        </w:rPr>
        <w:t xml:space="preserve">trategiją </w:t>
      </w:r>
      <w:r>
        <w:rPr>
          <w:rFonts w:eastAsia="Calibri"/>
          <w:iCs/>
          <w:szCs w:val="24"/>
        </w:rPr>
        <w:t>užtikrinti</w:t>
      </w:r>
      <w:r w:rsidR="00D5612D" w:rsidRPr="00D5612D">
        <w:rPr>
          <w:rFonts w:eastAsia="Calibri"/>
          <w:iCs/>
          <w:szCs w:val="24"/>
        </w:rPr>
        <w:t xml:space="preserve"> tvarius ir sumanius sprendimus, tiek tiesiogiai mažinančius urbanizuotų teritorijų šiltnamio efektą sukeliančių dujų emisiją ir leidžiančius prisitaikyti prie klimato kaitos (darnaus judumo priemonės, energijos beveik nevartojančių pastatų statyba, žaliųjų erdvių plėtra ir įveiklinimas), tiek subalansuojant viešųjų paslaugų tinklą geografiniu aspektu, taip sumažinant ilgų kelionių poreikį ir transporto poveikį taršai ir klimato kaitai.</w:t>
      </w:r>
    </w:p>
    <w:p w14:paraId="6547DCA5" w14:textId="317C2D86" w:rsidR="007E2078" w:rsidRPr="0040784F" w:rsidRDefault="0040784F" w:rsidP="0040784F">
      <w:pPr>
        <w:tabs>
          <w:tab w:val="left" w:pos="0"/>
          <w:tab w:val="left" w:pos="851"/>
        </w:tabs>
        <w:spacing w:line="276" w:lineRule="auto"/>
        <w:jc w:val="both"/>
        <w:rPr>
          <w:rFonts w:eastAsia="Calibri"/>
          <w:b/>
          <w:bCs/>
          <w:iCs/>
          <w:szCs w:val="24"/>
        </w:rPr>
      </w:pPr>
      <w:r>
        <w:rPr>
          <w:rFonts w:eastAsia="Calibri"/>
          <w:iCs/>
          <w:szCs w:val="24"/>
        </w:rPr>
        <w:tab/>
      </w:r>
      <w:r w:rsidRPr="0040784F">
        <w:rPr>
          <w:rFonts w:eastAsia="Calibri"/>
          <w:b/>
          <w:bCs/>
          <w:iCs/>
          <w:szCs w:val="24"/>
        </w:rPr>
        <w:t>Nustatyti Strategijos teritorijos poreikiai:</w:t>
      </w:r>
    </w:p>
    <w:p w14:paraId="094446B3" w14:textId="77777777" w:rsidR="0040784F"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b/>
          <w:bCs/>
          <w:i/>
          <w:szCs w:val="24"/>
        </w:rPr>
        <w:t>1. Užtikrinti viešųjų paslaugų tolygų ir efektyvų išdėstymą ir prieinamumą gyventojams</w:t>
      </w:r>
      <w:r>
        <w:rPr>
          <w:rFonts w:eastAsia="Calibri"/>
          <w:iCs/>
          <w:szCs w:val="24"/>
        </w:rPr>
        <w:t xml:space="preserve">. </w:t>
      </w:r>
    </w:p>
    <w:p w14:paraId="51FAFB89" w14:textId="77777777" w:rsidR="00F2400D"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iCs/>
          <w:szCs w:val="24"/>
        </w:rPr>
        <w:t xml:space="preserve">2017–2021 m. laikotarpiu vaikų ikimokyklinio ir priešmokyklinio ugdymo įstaigose skaičius Klaipėdos m. augo 0,6 proc. (arba 222 vaikai), Klaipėdos rajone – 4,1 proc. (arba 321 vaikas). Klaipėdos miesto ikimokyklinių įstaigų tinklas šiuo metu poreikius tenkina iš dalies. Netolygų vaikų pasiskirstymą ikimokyklinio ugdymo įstaigose, vietų (įstaigų) trūkumą centrinėje ir šiaurinėje dalyse sąlygoja augantis jaunų šeimų skaičius šiose miesto dalyse, didėjantis daugiabučių ir individualių namų šiaurinėje ir centrinėje dalyse skaičius bei statybų mastai rytinėje dalyje. Pasibaigus pagrindiniam 2023–2024 m. m. grupių komplektavimui į Klaipėdos miesto ikimokyklines ir priešmokyklines grupes, Vaikų priėmimo sistemos duomenimis, centrinėje ir šiaurinėje miesto dalyse nepateko 255 vaikai. Kasmet nepatenka panašus skaičius vaikų. Tėvams siūlomos laisvos vietos, nutolusios nuo jų gyvenamų mikrorajonų. Dalis tėvų renkasi privačias </w:t>
      </w:r>
      <w:r w:rsidR="00F2400D">
        <w:rPr>
          <w:rFonts w:eastAsia="Calibri"/>
          <w:iCs/>
          <w:szCs w:val="24"/>
        </w:rPr>
        <w:t>ugdymo</w:t>
      </w:r>
      <w:r w:rsidRPr="0040784F">
        <w:rPr>
          <w:rFonts w:eastAsia="Calibri"/>
          <w:iCs/>
          <w:szCs w:val="24"/>
        </w:rPr>
        <w:t xml:space="preserve"> įstaigas. </w:t>
      </w:r>
    </w:p>
    <w:p w14:paraId="4FDDF942" w14:textId="44CB1046" w:rsidR="0040784F" w:rsidRDefault="00F2400D" w:rsidP="0040784F">
      <w:pPr>
        <w:tabs>
          <w:tab w:val="left" w:pos="0"/>
          <w:tab w:val="left" w:pos="851"/>
        </w:tabs>
        <w:spacing w:line="276" w:lineRule="auto"/>
        <w:jc w:val="both"/>
        <w:rPr>
          <w:rFonts w:eastAsia="Calibri"/>
          <w:iCs/>
          <w:szCs w:val="24"/>
        </w:rPr>
      </w:pPr>
      <w:r>
        <w:rPr>
          <w:rFonts w:eastAsia="Calibri"/>
          <w:iCs/>
          <w:szCs w:val="24"/>
        </w:rPr>
        <w:tab/>
      </w:r>
      <w:r w:rsidR="0040784F" w:rsidRPr="0040784F">
        <w:rPr>
          <w:rFonts w:eastAsia="Calibri"/>
          <w:iCs/>
          <w:szCs w:val="24"/>
        </w:rPr>
        <w:t xml:space="preserve">Klaipėdos miesto savivaldybės administracijos Švietimo skyriaus duomenimis, 2023–2024 m. m. </w:t>
      </w:r>
      <w:r w:rsidRPr="0040784F">
        <w:rPr>
          <w:rFonts w:eastAsia="Calibri"/>
          <w:iCs/>
          <w:szCs w:val="24"/>
        </w:rPr>
        <w:t xml:space="preserve">kompensacija privačioms įstaigoms </w:t>
      </w:r>
      <w:r>
        <w:rPr>
          <w:rFonts w:eastAsia="Calibri"/>
          <w:iCs/>
          <w:szCs w:val="24"/>
        </w:rPr>
        <w:t xml:space="preserve">mokama </w:t>
      </w:r>
      <w:r w:rsidR="0040784F" w:rsidRPr="0040784F">
        <w:rPr>
          <w:rFonts w:eastAsia="Calibri"/>
          <w:iCs/>
          <w:szCs w:val="24"/>
        </w:rPr>
        <w:t xml:space="preserve">už 125 vaikus. Klaipėdos rajono priemiesčio Sendvario seniūnijoje dėl vietų trūkumo </w:t>
      </w:r>
      <w:r>
        <w:rPr>
          <w:rFonts w:eastAsia="Calibri"/>
          <w:iCs/>
          <w:szCs w:val="24"/>
        </w:rPr>
        <w:t xml:space="preserve">ugdymo įstaigose </w:t>
      </w:r>
      <w:r w:rsidR="0040784F" w:rsidRPr="0040784F">
        <w:rPr>
          <w:rFonts w:eastAsia="Calibri"/>
          <w:iCs/>
          <w:szCs w:val="24"/>
        </w:rPr>
        <w:t xml:space="preserve">taip pat nėra galimybės tenkinti gyventojų ikimokyklinio, priešmokyklinio, bendrojo ugdymo </w:t>
      </w:r>
      <w:r w:rsidR="002624E1">
        <w:rPr>
          <w:rFonts w:eastAsia="Calibri"/>
          <w:iCs/>
          <w:szCs w:val="24"/>
        </w:rPr>
        <w:t>poreikio</w:t>
      </w:r>
      <w:r w:rsidR="0040784F" w:rsidRPr="0040784F">
        <w:rPr>
          <w:rFonts w:eastAsia="Calibri"/>
          <w:iCs/>
          <w:szCs w:val="24"/>
        </w:rPr>
        <w:t xml:space="preserve">. Šioje seniūnijoje veikia </w:t>
      </w:r>
      <w:proofErr w:type="spellStart"/>
      <w:r w:rsidR="0040784F" w:rsidRPr="0040784F">
        <w:rPr>
          <w:rFonts w:eastAsia="Calibri"/>
          <w:iCs/>
          <w:szCs w:val="24"/>
        </w:rPr>
        <w:t>Slengių</w:t>
      </w:r>
      <w:proofErr w:type="spellEnd"/>
      <w:r w:rsidR="0040784F" w:rsidRPr="0040784F">
        <w:rPr>
          <w:rFonts w:eastAsia="Calibri"/>
          <w:iCs/>
          <w:szCs w:val="24"/>
        </w:rPr>
        <w:t xml:space="preserve"> mokykla-daugiafunkcis centras, kuriame vykdomos ikimokyklinio, priešmokyklinio ir pradinio ugdymo programos. Klaipėdos rajono savivaldybės administracijos duomenimis (pagal pateiktų prašymų skaičių), </w:t>
      </w:r>
      <w:proofErr w:type="spellStart"/>
      <w:r w:rsidR="0040784F" w:rsidRPr="0040784F">
        <w:rPr>
          <w:rFonts w:eastAsia="Calibri"/>
          <w:iCs/>
          <w:szCs w:val="24"/>
        </w:rPr>
        <w:t>Slengių</w:t>
      </w:r>
      <w:proofErr w:type="spellEnd"/>
      <w:r w:rsidR="0040784F" w:rsidRPr="0040784F">
        <w:rPr>
          <w:rFonts w:eastAsia="Calibri"/>
          <w:iCs/>
          <w:szCs w:val="24"/>
        </w:rPr>
        <w:t xml:space="preserve"> mokykloje-daugiafunkciame centre ikimokyklinių grupių 2022 metų rudenį neturėjo galimybės lankyti 296 vaikai. Sendvario seniūnijos teritorijoje veikiančiose 8 privačiose švietimo įstaigose 2022 m. rugsėjo 1 d. buvo ugdomi 494 ikimokyklinukai ir </w:t>
      </w:r>
      <w:proofErr w:type="spellStart"/>
      <w:r w:rsidR="0040784F" w:rsidRPr="0040784F">
        <w:rPr>
          <w:rFonts w:eastAsia="Calibri"/>
          <w:iCs/>
          <w:szCs w:val="24"/>
        </w:rPr>
        <w:t>priešmokyklinukai</w:t>
      </w:r>
      <w:proofErr w:type="spellEnd"/>
      <w:r w:rsidR="0040784F" w:rsidRPr="0040784F">
        <w:rPr>
          <w:rFonts w:eastAsia="Calibri"/>
          <w:iCs/>
          <w:szCs w:val="24"/>
        </w:rPr>
        <w:t xml:space="preserve">. </w:t>
      </w:r>
      <w:r>
        <w:rPr>
          <w:rFonts w:eastAsia="Calibri"/>
          <w:iCs/>
          <w:szCs w:val="24"/>
        </w:rPr>
        <w:t>Stokojant</w:t>
      </w:r>
      <w:r w:rsidR="0040784F" w:rsidRPr="0040784F">
        <w:rPr>
          <w:rFonts w:eastAsia="Calibri"/>
          <w:iCs/>
          <w:szCs w:val="24"/>
        </w:rPr>
        <w:t xml:space="preserve"> ugdymo paslaugų priemiesčiuose, dalis vaikų lanko Klaipėdos miesto ikimokyklines įstaigas (2023 m. rugsėjo mėn. – 84 Klaipėdos rajono vaikai).</w:t>
      </w:r>
      <w:r w:rsidR="0040784F">
        <w:rPr>
          <w:rFonts w:eastAsia="Calibri"/>
          <w:iCs/>
          <w:szCs w:val="24"/>
        </w:rPr>
        <w:t xml:space="preserve"> </w:t>
      </w:r>
      <w:r w:rsidR="0040784F" w:rsidRPr="0040784F">
        <w:rPr>
          <w:rFonts w:eastAsia="Calibri"/>
          <w:iCs/>
          <w:szCs w:val="24"/>
        </w:rPr>
        <w:t xml:space="preserve">Nors šiaurinėje </w:t>
      </w:r>
      <w:r w:rsidR="0040784F" w:rsidRPr="0040784F">
        <w:rPr>
          <w:rFonts w:eastAsia="Calibri"/>
          <w:iCs/>
          <w:szCs w:val="24"/>
        </w:rPr>
        <w:lastRenderedPageBreak/>
        <w:t>Strategijos teritorijos dalyje auga jaunų žmonių skaičius, tačiau čia neįrengta nė viena erdvė jaunimo laisvalaikiui. Priemiesčio teritorijoje (rytinėje Strategijos teritorijos dalyje) tokių erdvių taip pat nėra (artimiausia Klaipėdos rajono savivaldybės teritorijoje esanti tokia erdvė – Gargžduose)</w:t>
      </w:r>
      <w:r w:rsidR="002624E1">
        <w:rPr>
          <w:rFonts w:eastAsia="Calibri"/>
          <w:iCs/>
          <w:szCs w:val="24"/>
        </w:rPr>
        <w:t>, t</w:t>
      </w:r>
      <w:r w:rsidR="0040784F" w:rsidRPr="0040784F">
        <w:rPr>
          <w:rFonts w:eastAsia="Calibri"/>
          <w:iCs/>
          <w:szCs w:val="24"/>
        </w:rPr>
        <w:t>odėl socialinės paslaugos Strategijos teritorijos jaunimui (atviras darbas su jaunimu) teikiamos tik Klaipėdos karalienės Luizės jaunimo centro Atvirose jaunimo erdvėse (I. Simonaitytės g. 24 (pietinėje dalyje) ir Paryžiaus Komunos g. 16A (centrinėje dalyje) VšĮ Asmenybės ugdymo kultūros centr</w:t>
      </w:r>
      <w:r w:rsidR="002624E1">
        <w:rPr>
          <w:rFonts w:eastAsia="Calibri"/>
          <w:iCs/>
          <w:szCs w:val="24"/>
        </w:rPr>
        <w:t>e</w:t>
      </w:r>
      <w:r w:rsidR="0040784F" w:rsidRPr="0040784F">
        <w:rPr>
          <w:rFonts w:eastAsia="Calibri"/>
          <w:iCs/>
          <w:szCs w:val="24"/>
        </w:rPr>
        <w:t xml:space="preserve"> (Gluosnių skg. 2A – centrinėje dalyje). Tolygiam paslaugų pasiekiamumui visoje Strategijos teritorijoje būtina, kad atviros jaunimo laisvalaikiui pritaikytos erdvės būtų įrengtos ir šiaurinėje Strategijos teritorijos dalyje. Nei savivaldybė, nei NVO, vykdanti panašias veiklas, tinkamų patalpų šioje miesto dalyje neturi. Tinkamiausia vieta įrengti patalpas atvirai jaunimo erdvei, kurioje būtų sudarytos sąlygos saugiai leisti laisvalaikį, pasirinkta prie Girulių miško, po Vasaros estrados koncertine dalimi.</w:t>
      </w:r>
      <w:r w:rsidR="0040784F">
        <w:rPr>
          <w:rFonts w:eastAsia="Calibri"/>
          <w:iCs/>
          <w:szCs w:val="24"/>
        </w:rPr>
        <w:t xml:space="preserve"> </w:t>
      </w:r>
    </w:p>
    <w:p w14:paraId="719FEE10" w14:textId="42660AC6" w:rsidR="0040784F" w:rsidRPr="0040784F"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iCs/>
          <w:szCs w:val="24"/>
        </w:rPr>
        <w:t>Klaipėdos miesto pirminės sveikatos priežiūros įstaigų paslaugomis naudojasi tiek miesto, tiek rajono savivaldybės gyventojai. Valstybinės ligonių kasos duomenimis, 2023 m. III ketvirtį prie Klaipėdos pirminės asmens sveikatos priežiūros įstaigų buvo prisirašę 196 978 gyventojai. Tai 38 558 (24,3 proc.) gyventojais daugiau nei iš viso mieste deklaravusių gyvenamąją vietą. Tai rodo, kad pirminės sveikatos priežiūros paslaugų pasiūla mieste tenkina ir priemiesčio teritorijos gyventojų poreikius. Klaipėdos miesto savivaldybės 2023 m. birželio 14 d. sprendimu Nr. T2-138 „Dėl Klaipėdos miesto sveikatos centro kūrimo funkcinio bendradarbiavimo būdu inicijavimo“ buvo pritarta Klaipėdos mieste inicijuoti Klaipėdos miesto sveikatos centro kūrimą funkcinio bendradarbiavimo būdu, siekiant gerinti sveikatos paslaugų prieinamumą, integruotą požiūrį į asmens sveikatos priežiūrą. Išrinkta sveikatos centrą koordinuojanti įstaiga – VšĮ Klaipėdos miesto poliklinika, kuri turi daugiausiai prisirašiusiųjų, didžiausią infrastruktūrą.</w:t>
      </w:r>
      <w:r w:rsidR="00F2400D">
        <w:rPr>
          <w:rFonts w:eastAsia="Calibri"/>
          <w:iCs/>
          <w:szCs w:val="24"/>
        </w:rPr>
        <w:t xml:space="preserve"> </w:t>
      </w:r>
      <w:r w:rsidRPr="0040784F">
        <w:rPr>
          <w:rFonts w:eastAsia="Calibri"/>
          <w:iCs/>
          <w:szCs w:val="24"/>
        </w:rPr>
        <w:t>Vykstant sveikatos sistemos reformai, teikiamoms paslaugoms atsiranda nauji aukštesni reikalavimai, kuriuos sunku įgyvendinti, neturint tinkamai įrengtų patalpų. VšĮ Klaipėdos miesto poliklinika (statyta 1979 m.) įsikūrusi patogioje</w:t>
      </w:r>
      <w:r w:rsidR="00F2400D">
        <w:rPr>
          <w:rFonts w:eastAsia="Calibri"/>
          <w:iCs/>
          <w:szCs w:val="24"/>
        </w:rPr>
        <w:t>,</w:t>
      </w:r>
      <w:r w:rsidRPr="0040784F">
        <w:rPr>
          <w:rFonts w:eastAsia="Calibri"/>
          <w:iCs/>
          <w:szCs w:val="24"/>
        </w:rPr>
        <w:t xml:space="preserve"> visos Strategijos teritorijos gyventojams gerai pasiekiamoje</w:t>
      </w:r>
      <w:r w:rsidR="00F2400D">
        <w:rPr>
          <w:rFonts w:eastAsia="Calibri"/>
          <w:iCs/>
          <w:szCs w:val="24"/>
        </w:rPr>
        <w:t>,</w:t>
      </w:r>
      <w:r w:rsidRPr="0040784F">
        <w:rPr>
          <w:rFonts w:eastAsia="Calibri"/>
          <w:iCs/>
          <w:szCs w:val="24"/>
        </w:rPr>
        <w:t xml:space="preserve"> vietoje, tačiau poliklinikos infrastruktūra planuota sovietmečio logika, netinkama teikti naujos kokybės paslaugas, todėl būtina perplanuoti patalpas pagal šiuolaikinius poreikius, o didinant sveikatos priežiūros paslaugų apimtį, reikia</w:t>
      </w:r>
      <w:r w:rsidR="00F2400D">
        <w:rPr>
          <w:rFonts w:eastAsia="Calibri"/>
          <w:iCs/>
          <w:szCs w:val="24"/>
        </w:rPr>
        <w:t xml:space="preserve"> </w:t>
      </w:r>
      <w:r w:rsidRPr="0040784F">
        <w:rPr>
          <w:rFonts w:eastAsia="Calibri"/>
          <w:iCs/>
          <w:szCs w:val="24"/>
        </w:rPr>
        <w:t xml:space="preserve">iškelti </w:t>
      </w:r>
      <w:r w:rsidR="00F2400D">
        <w:rPr>
          <w:rFonts w:eastAsia="Calibri"/>
          <w:iCs/>
          <w:szCs w:val="24"/>
        </w:rPr>
        <w:t xml:space="preserve">ir </w:t>
      </w:r>
      <w:r w:rsidRPr="0040784F">
        <w:rPr>
          <w:rFonts w:eastAsia="Calibri"/>
          <w:iCs/>
          <w:szCs w:val="24"/>
        </w:rPr>
        <w:t>pastate veikiančias ne sveikatos priežiūros paslaugų įstaigas.</w:t>
      </w:r>
    </w:p>
    <w:p w14:paraId="1F7CCA1C" w14:textId="6ED23A15" w:rsidR="0040784F" w:rsidRPr="0040784F"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iCs/>
          <w:szCs w:val="24"/>
        </w:rPr>
        <w:t>Rytinėje Strategijos teritorijoje sveikatos priežiūros įstaigų nėra. Šios teritorijos gyventojus aptarnaujanč</w:t>
      </w:r>
      <w:r w:rsidR="00B6206D">
        <w:rPr>
          <w:rFonts w:eastAsia="Calibri"/>
          <w:iCs/>
          <w:szCs w:val="24"/>
        </w:rPr>
        <w:t>iame</w:t>
      </w:r>
      <w:r w:rsidRPr="0040784F">
        <w:rPr>
          <w:rFonts w:eastAsia="Calibri"/>
          <w:iCs/>
          <w:szCs w:val="24"/>
        </w:rPr>
        <w:t xml:space="preserve"> Klaipėdos rajono savivaldybei priklausanči</w:t>
      </w:r>
      <w:r w:rsidR="00B6206D">
        <w:rPr>
          <w:rFonts w:eastAsia="Calibri"/>
          <w:iCs/>
          <w:szCs w:val="24"/>
        </w:rPr>
        <w:t xml:space="preserve">ame </w:t>
      </w:r>
      <w:r w:rsidRPr="0040784F">
        <w:rPr>
          <w:rFonts w:eastAsia="Calibri"/>
          <w:iCs/>
          <w:szCs w:val="24"/>
        </w:rPr>
        <w:t xml:space="preserve">Paupių </w:t>
      </w:r>
      <w:r w:rsidR="00F2400D">
        <w:rPr>
          <w:rFonts w:eastAsia="Calibri"/>
          <w:iCs/>
          <w:szCs w:val="24"/>
        </w:rPr>
        <w:t>pirminės sveikatos priežiūros centre</w:t>
      </w:r>
      <w:r w:rsidR="00B6206D">
        <w:rPr>
          <w:rFonts w:eastAsia="Calibri"/>
          <w:iCs/>
          <w:szCs w:val="24"/>
        </w:rPr>
        <w:t xml:space="preserve"> (toliau – PSPC)</w:t>
      </w:r>
      <w:r w:rsidR="00F2400D">
        <w:rPr>
          <w:rFonts w:eastAsia="Calibri"/>
          <w:iCs/>
          <w:szCs w:val="24"/>
        </w:rPr>
        <w:t xml:space="preserve"> (</w:t>
      </w:r>
      <w:r w:rsidRPr="0040784F">
        <w:rPr>
          <w:rFonts w:eastAsia="Calibri"/>
          <w:iCs/>
          <w:szCs w:val="24"/>
        </w:rPr>
        <w:t>patalpos yra Klaipėdos mieste), Valstybinės ligonių kasos duomenimis, 2023 m. III ketv. buvo prisirašę 4 615 gyventojų (dalis prisirašiusiųjų yra Klaipėdos miesto gyventojai), kai gyventojų skaičius rytinėje teritorijoje viršija 10 tūkst.</w:t>
      </w:r>
      <w:r w:rsidR="00F2400D">
        <w:rPr>
          <w:rFonts w:eastAsia="Calibri"/>
          <w:iCs/>
          <w:szCs w:val="24"/>
        </w:rPr>
        <w:t>, t</w:t>
      </w:r>
      <w:r w:rsidRPr="0040784F">
        <w:rPr>
          <w:rFonts w:eastAsia="Calibri"/>
          <w:iCs/>
          <w:szCs w:val="24"/>
        </w:rPr>
        <w:t>. y. įstaiga aptarnauja mažiau nei pusę priemiesčio gyventojų. Vykstant sveikatos reformai, asmens sveikatos priežiūros įstaigoms, teikiančioms pirminę sveikatos priežiūrą, atsirado įpareigojimas iki 2030 m. užtikrinti šeimos gydytojų komandą. Nesant objektyvių galimybių užtikrinti visą PSPC paslaugų apimtį, po sveikatos reformos įgyvendinimo Klaipėdos rajone, Paupių PSPS taps Klaipėdos rajono sveikatos centro dalimi. Įvertinant tai, kad Paupių PSPC neturi pakank</w:t>
      </w:r>
      <w:r w:rsidR="00B6206D">
        <w:rPr>
          <w:rFonts w:eastAsia="Calibri"/>
          <w:iCs/>
          <w:szCs w:val="24"/>
        </w:rPr>
        <w:t>amai</w:t>
      </w:r>
      <w:r w:rsidRPr="0040784F">
        <w:rPr>
          <w:rFonts w:eastAsia="Calibri"/>
          <w:iCs/>
          <w:szCs w:val="24"/>
        </w:rPr>
        <w:t xml:space="preserve"> patalpų, tinkamų aptarnauti ir esamą bei augantį rytinės Strategijos teritorijos gyventojų skaičių ir įgyvendinti sveikatos reformos reikalavimus, tikėtina, kad sveikatos paslaugų apimtis išaugs atitinkamą poreikį galinčiose patenkinti Klaipėdos miesto arba Klaipėdos rajono sveikatos priežiūros įstaigose. Dėl geografinio priemiesčio teritorijų išsidėstymo yra didelė tikimybė, kad gyventojai pasirinks būtent</w:t>
      </w:r>
      <w:r w:rsidR="00431B54">
        <w:rPr>
          <w:rFonts w:eastAsia="Calibri"/>
          <w:iCs/>
          <w:szCs w:val="24"/>
        </w:rPr>
        <w:t xml:space="preserve"> </w:t>
      </w:r>
      <w:r w:rsidRPr="0040784F">
        <w:rPr>
          <w:rFonts w:eastAsia="Calibri"/>
          <w:iCs/>
          <w:szCs w:val="24"/>
        </w:rPr>
        <w:t xml:space="preserve">Klaipėdos miesto sveikatos centro paslaugas. </w:t>
      </w:r>
    </w:p>
    <w:p w14:paraId="11625609" w14:textId="56261A70" w:rsidR="0040784F" w:rsidRPr="0040784F" w:rsidRDefault="0040784F" w:rsidP="0040784F">
      <w:pPr>
        <w:tabs>
          <w:tab w:val="left" w:pos="0"/>
          <w:tab w:val="left" w:pos="851"/>
        </w:tabs>
        <w:spacing w:line="276" w:lineRule="auto"/>
        <w:jc w:val="both"/>
        <w:rPr>
          <w:rFonts w:eastAsia="Calibri"/>
          <w:iCs/>
          <w:szCs w:val="24"/>
        </w:rPr>
      </w:pPr>
      <w:r>
        <w:rPr>
          <w:rFonts w:eastAsia="Calibri"/>
          <w:iCs/>
          <w:szCs w:val="24"/>
        </w:rPr>
        <w:lastRenderedPageBreak/>
        <w:tab/>
      </w:r>
      <w:r w:rsidR="00B6206D">
        <w:rPr>
          <w:rFonts w:eastAsia="Calibri"/>
          <w:iCs/>
          <w:szCs w:val="24"/>
        </w:rPr>
        <w:t>Paminėtina, kad a</w:t>
      </w:r>
      <w:r w:rsidRPr="0040784F">
        <w:rPr>
          <w:rFonts w:eastAsia="Calibri"/>
          <w:iCs/>
          <w:szCs w:val="24"/>
        </w:rPr>
        <w:t xml:space="preserve">pie nepakankamą sveikatos priežiūros paslaugų teikimą Klaipėdos rajono savivaldybėje byloja atliktas gyventojų pasitenkinimo viešosiomis paslaugomis tyrimas, kurio duomenimis, gyventojų pasitenkinimas beveik visomis sveikatos paslaugomis Klaipėdos rajone per vertintą 2018–2023 m. laikotarpį krito. Apklausa parodė, kad viena blogiausiai vertinamų paslaugų grupių yra pagal gyvenamąją vietovę teikiamos pirminės sveikatos priežiūros paslaugos (pirminės sveikatos priežiūros centre, ambulatorijoje ir punktuose). Atsižvelgiant į tai, kad tyrimo metu nebuvo išskiriama Klaipėdos rajono savivaldybės gyventojų dalis, kuri naudojasi Klaipėdos miesto savivaldybės sveikatos priežiūros įstaigų paslaugomis, atlikto tyrimo rezultatai rodo gyventojų pasitenkinimą abiejų savivaldybių sveikatos priežiūros paslaugomis. Iš to taip pat galima daryti išvadą, kad priemiesčio teritorijos gyventojai susiduria su dideliais paslaugos kokybės ir prieinamumo trūkumais. </w:t>
      </w:r>
    </w:p>
    <w:p w14:paraId="70499758" w14:textId="1CEEFE81" w:rsidR="0040784F" w:rsidRDefault="00B6206D" w:rsidP="0040784F">
      <w:pPr>
        <w:tabs>
          <w:tab w:val="left" w:pos="0"/>
          <w:tab w:val="left" w:pos="851"/>
        </w:tabs>
        <w:spacing w:line="276" w:lineRule="auto"/>
        <w:jc w:val="both"/>
        <w:rPr>
          <w:rFonts w:eastAsia="Calibri"/>
          <w:iCs/>
          <w:szCs w:val="24"/>
        </w:rPr>
      </w:pPr>
      <w:r>
        <w:rPr>
          <w:rFonts w:eastAsia="Calibri"/>
          <w:iCs/>
          <w:szCs w:val="24"/>
        </w:rPr>
        <w:tab/>
      </w:r>
      <w:r w:rsidR="008370C0">
        <w:rPr>
          <w:rFonts w:eastAsia="Calibri"/>
          <w:iCs/>
          <w:szCs w:val="24"/>
        </w:rPr>
        <w:t>Vertinant transporto sritį, galima teigti, kad r</w:t>
      </w:r>
      <w:r w:rsidR="0040784F" w:rsidRPr="0040784F">
        <w:rPr>
          <w:rFonts w:eastAsia="Calibri"/>
          <w:iCs/>
          <w:szCs w:val="24"/>
        </w:rPr>
        <w:t>ytinė Strategijos teritorija yra gerai integruota su miesto automobilių keliais, Klaipėdos miesto viešojo transporto maršrutais, tačiau dalis rytinės Strategijos teritorijos gyvenamųjų vietovių (</w:t>
      </w:r>
      <w:proofErr w:type="spellStart"/>
      <w:r w:rsidR="0040784F" w:rsidRPr="0040784F">
        <w:rPr>
          <w:rFonts w:eastAsia="Calibri"/>
          <w:iCs/>
          <w:szCs w:val="24"/>
        </w:rPr>
        <w:t>Klipščiai</w:t>
      </w:r>
      <w:proofErr w:type="spellEnd"/>
      <w:r w:rsidR="0040784F" w:rsidRPr="0040784F">
        <w:rPr>
          <w:rFonts w:eastAsia="Calibri"/>
          <w:iCs/>
          <w:szCs w:val="24"/>
        </w:rPr>
        <w:t xml:space="preserve">, </w:t>
      </w:r>
      <w:proofErr w:type="spellStart"/>
      <w:r w:rsidR="0040784F" w:rsidRPr="0040784F">
        <w:rPr>
          <w:rFonts w:eastAsia="Calibri"/>
          <w:iCs/>
          <w:szCs w:val="24"/>
        </w:rPr>
        <w:t>Trušeliai</w:t>
      </w:r>
      <w:proofErr w:type="spellEnd"/>
      <w:r w:rsidR="0040784F" w:rsidRPr="0040784F">
        <w:rPr>
          <w:rFonts w:eastAsia="Calibri"/>
          <w:iCs/>
          <w:szCs w:val="24"/>
        </w:rPr>
        <w:t xml:space="preserve">, </w:t>
      </w:r>
      <w:proofErr w:type="spellStart"/>
      <w:r w:rsidR="0040784F" w:rsidRPr="0040784F">
        <w:rPr>
          <w:rFonts w:eastAsia="Calibri"/>
          <w:iCs/>
          <w:szCs w:val="24"/>
        </w:rPr>
        <w:t>Mazūriškės</w:t>
      </w:r>
      <w:proofErr w:type="spellEnd"/>
      <w:r w:rsidR="0040784F" w:rsidRPr="0040784F">
        <w:rPr>
          <w:rFonts w:eastAsia="Calibri"/>
          <w:iCs/>
          <w:szCs w:val="24"/>
        </w:rPr>
        <w:t>) ir jose esantys ar kuriami socialinės infrastruktūros objektai nėra integruot</w:t>
      </w:r>
      <w:r w:rsidR="008370C0">
        <w:rPr>
          <w:rFonts w:eastAsia="Calibri"/>
          <w:iCs/>
          <w:szCs w:val="24"/>
        </w:rPr>
        <w:t xml:space="preserve">i </w:t>
      </w:r>
      <w:r w:rsidR="0040784F" w:rsidRPr="0040784F">
        <w:rPr>
          <w:rFonts w:eastAsia="Calibri"/>
          <w:iCs/>
          <w:szCs w:val="24"/>
        </w:rPr>
        <w:t>į vientisą su miestu pėsčiųjų ir dviračių takų tinklą. Siekiant užtikrinti patogų</w:t>
      </w:r>
      <w:r w:rsidR="008370C0">
        <w:rPr>
          <w:rFonts w:eastAsia="Calibri"/>
          <w:iCs/>
          <w:szCs w:val="24"/>
        </w:rPr>
        <w:t>,</w:t>
      </w:r>
      <w:r w:rsidR="0040784F" w:rsidRPr="0040784F">
        <w:rPr>
          <w:rFonts w:eastAsia="Calibri"/>
          <w:iCs/>
          <w:szCs w:val="24"/>
        </w:rPr>
        <w:t xml:space="preserve"> saugų susisiekimą su viešųjų paslaugų objektais priemiestinėje teritorijoje, reikia nutiesti trūkstamas dviračių takų jungtis. Šiuo metu jau pradėtos žemės paėmimo visuomenės poreikiams procedūros</w:t>
      </w:r>
      <w:r w:rsidR="008370C0">
        <w:rPr>
          <w:rFonts w:eastAsia="Calibri"/>
          <w:iCs/>
          <w:szCs w:val="24"/>
        </w:rPr>
        <w:t>:</w:t>
      </w:r>
      <w:r w:rsidR="0040784F" w:rsidRPr="0040784F">
        <w:rPr>
          <w:rFonts w:eastAsia="Calibri"/>
          <w:iCs/>
          <w:szCs w:val="24"/>
        </w:rPr>
        <w:t xml:space="preserve"> Klaipėdos rajono savivaldybė priėmė sprendimą keisti 2007 m. patvirtintą specialųjį planą, kuris atitiktų </w:t>
      </w:r>
      <w:r w:rsidR="003772B1">
        <w:rPr>
          <w:rFonts w:eastAsia="Calibri"/>
          <w:iCs/>
          <w:szCs w:val="24"/>
        </w:rPr>
        <w:t>šiandienos</w:t>
      </w:r>
      <w:r w:rsidR="0040784F" w:rsidRPr="0040784F">
        <w:rPr>
          <w:rFonts w:eastAsia="Calibri"/>
          <w:iCs/>
          <w:szCs w:val="24"/>
        </w:rPr>
        <w:t xml:space="preserve"> poreikius ir sudarytų prielaidas tiesti dviračių takus ir kitą susisiekimo infrastruktūrą. Įrengus pėsčiųjų ir dviračių takus, Klaipėdos mieste būtų sumažintas automobilių eismo intensyvumas, sumažėtų spūsčių.</w:t>
      </w:r>
    </w:p>
    <w:p w14:paraId="1EF46F5E" w14:textId="0D9BC578" w:rsidR="0040784F"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b/>
          <w:bCs/>
          <w:i/>
          <w:szCs w:val="24"/>
        </w:rPr>
        <w:t>2. Mažinti aplinkos taršą ir kurti tvarią aplinką</w:t>
      </w:r>
      <w:r>
        <w:rPr>
          <w:rFonts w:eastAsia="Calibri"/>
          <w:b/>
          <w:bCs/>
          <w:i/>
          <w:szCs w:val="24"/>
        </w:rPr>
        <w:t xml:space="preserve">. </w:t>
      </w:r>
    </w:p>
    <w:p w14:paraId="6BE26F04" w14:textId="77777777" w:rsidR="0040784F" w:rsidRPr="0040784F"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iCs/>
          <w:szCs w:val="24"/>
        </w:rPr>
        <w:t xml:space="preserve">Klaipėdos miesto urbanizuotose vietovėse (pietinė, centrinė ir šiaurinė Strategijos teritorijos) trūksta klimato kaitos poveikį neutralizuojančios žaliosios infrastruktūros. Gyvenamosios aplinkos kokybę rodantis rodiklis „nepralaidžių dangų ir žaliosios infrastruktūros santykis“  sudaro tik 8/2, kai Lietuvos Respublikos teritorijos bendrajame plane rekomenduojamas optimalus santykis 4/6. Klaipėdos regione istoriškai mažai dėmesio buvo skiriama žaliosios infrastruktūros vystymui dėl urbanizacijos. Didelę reikšmę nepralaidžių dangų plėtrai turėjo ir istorinės priežastys – dar XIII amžiuje pradėjęs kurtis Klaipėdos jūrų uostas šiuo metu užima 558 ha miesto teritorijos. </w:t>
      </w:r>
    </w:p>
    <w:p w14:paraId="68C9D74C" w14:textId="7B680ECA" w:rsidR="0040784F" w:rsidRPr="0040784F"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iCs/>
          <w:szCs w:val="24"/>
        </w:rPr>
        <w:t>Analizuojant Klaipėdos regiono savivaldybių duomenis, didžiausia oro tarša yra stebima regiono centre esančiose savivaldybėse – Klaipėdos m</w:t>
      </w:r>
      <w:r w:rsidR="008370C0">
        <w:rPr>
          <w:rFonts w:eastAsia="Calibri"/>
          <w:iCs/>
          <w:szCs w:val="24"/>
        </w:rPr>
        <w:t xml:space="preserve">iesto </w:t>
      </w:r>
      <w:r w:rsidRPr="0040784F">
        <w:rPr>
          <w:rFonts w:eastAsia="Calibri"/>
          <w:iCs/>
          <w:szCs w:val="24"/>
        </w:rPr>
        <w:t xml:space="preserve">ir Klaipėdos </w:t>
      </w:r>
      <w:r w:rsidR="008370C0">
        <w:rPr>
          <w:rFonts w:eastAsia="Calibri"/>
          <w:iCs/>
          <w:szCs w:val="24"/>
        </w:rPr>
        <w:t>rajono.</w:t>
      </w:r>
      <w:r w:rsidRPr="0040784F">
        <w:rPr>
          <w:rFonts w:eastAsia="Calibri"/>
          <w:iCs/>
          <w:szCs w:val="24"/>
        </w:rPr>
        <w:t xml:space="preserve"> Tiek oro tarša, tiek triukšmo lygis Klaipėdos mieste, kaip ir visoje Lietuvoje, daugiausiai yra lemiamas transporto srautų. Ypač piko valandomis laikas prarandamas spūstyse, didėja teršalų išmetimas, neigiamas poveikis aplinkai. Remiantis savivaldybės atliekamu aplinkos oro monitoringu, didesnė KD10 ir NO2 koncentracija stebima miesto sankryžose. Šie rodikliai yra arti ribinės vertės, o kai kuriais sezonais ir ją viršija, todėl dėmesys turi būti skiriamas transporto srautų sureguliavimui. Mažinant transporto keliamą taršą, būtina keisti gyventojų keliavimo įpročius ir kurti darnaus judumo sistemas, apimančias viešąjį transportą, eismo saugumą, eismo organizavimo valdymą, didinti dviračių takų vientisumą, įrengiant trūkstamas jungtis, atnaujinant esamas, </w:t>
      </w:r>
      <w:r w:rsidR="008370C0">
        <w:rPr>
          <w:rFonts w:eastAsia="Calibri"/>
          <w:iCs/>
          <w:szCs w:val="24"/>
        </w:rPr>
        <w:t>skatinti</w:t>
      </w:r>
      <w:r w:rsidRPr="0040784F">
        <w:rPr>
          <w:rFonts w:eastAsia="Calibri"/>
          <w:iCs/>
          <w:szCs w:val="24"/>
        </w:rPr>
        <w:t xml:space="preserve"> naudojimąsi ne individualiu automobiliu, o viešuoju transportu, </w:t>
      </w:r>
      <w:r w:rsidR="008370C0">
        <w:rPr>
          <w:rFonts w:eastAsia="Calibri"/>
          <w:iCs/>
          <w:szCs w:val="24"/>
        </w:rPr>
        <w:t xml:space="preserve">keliauti </w:t>
      </w:r>
      <w:r w:rsidRPr="0040784F">
        <w:rPr>
          <w:rFonts w:eastAsia="Calibri"/>
          <w:iCs/>
          <w:szCs w:val="24"/>
        </w:rPr>
        <w:t>pėsčiomis, dviračiu.</w:t>
      </w:r>
    </w:p>
    <w:p w14:paraId="0E08A7EB" w14:textId="77777777" w:rsidR="008370C0" w:rsidRDefault="0040784F" w:rsidP="0040784F">
      <w:pPr>
        <w:tabs>
          <w:tab w:val="left" w:pos="0"/>
          <w:tab w:val="left" w:pos="851"/>
        </w:tabs>
        <w:spacing w:line="276" w:lineRule="auto"/>
        <w:jc w:val="both"/>
        <w:rPr>
          <w:rFonts w:eastAsia="Calibri"/>
          <w:iCs/>
          <w:szCs w:val="24"/>
        </w:rPr>
      </w:pPr>
      <w:r>
        <w:rPr>
          <w:rFonts w:eastAsia="Calibri"/>
          <w:iCs/>
          <w:szCs w:val="24"/>
        </w:rPr>
        <w:tab/>
      </w:r>
      <w:r w:rsidRPr="0040784F">
        <w:rPr>
          <w:rFonts w:eastAsia="Calibri"/>
          <w:iCs/>
          <w:szCs w:val="24"/>
        </w:rPr>
        <w:t xml:space="preserve">Aplinkosauginiu aspektu didžiausias viešųjų želdynų poreikis būdingas tankiai apgyvendintai centrinei, pietinei ir šiaurinei teritorijos dalims (Klaipėdos miestui), o rytinėje Strategijos teritorijoje panašią funkciją atlieka prie individualių namų (kiemuose) esantys želdiniai. Bendras įregistruotų viešųjų atskirųjų želdynų sklypų plotas Klaipėdos mieste sudaro 160,8 ha (t. y. 10,56 kv. m/vienam gyventojui). Norint pasiekti minimalų plotą (12 kv. m)  vienam gyventojui, reikia </w:t>
      </w:r>
      <w:r w:rsidRPr="0040784F">
        <w:rPr>
          <w:rFonts w:eastAsia="Calibri"/>
          <w:iCs/>
          <w:szCs w:val="24"/>
        </w:rPr>
        <w:lastRenderedPageBreak/>
        <w:t xml:space="preserve">labiausiai želdynų normą netenkinančiuose kvartaluose įregistruoti (įveisti) apie 20 ha viešųjų atskirųjų želdynų. Strategijos įgyvendinimas gali padėti  padidinti želdynų plotą apie 6,3 ha. Likusį želdynų plotą planuojama įveisti įgyvendinant žalinimo planą, teritorijų planavimo dokumentus (reguliuojant teritorijų užstatymą ir kitais būdais), vykdant tęstinei veiklai savivaldybės lėšomis inventorizuojant ir tvarkant želdynus. </w:t>
      </w:r>
    </w:p>
    <w:p w14:paraId="2BFF5A75" w14:textId="1742D625" w:rsidR="0040784F" w:rsidRDefault="008370C0" w:rsidP="0040784F">
      <w:pPr>
        <w:tabs>
          <w:tab w:val="left" w:pos="0"/>
          <w:tab w:val="left" w:pos="851"/>
        </w:tabs>
        <w:spacing w:line="276" w:lineRule="auto"/>
        <w:jc w:val="both"/>
        <w:rPr>
          <w:rFonts w:eastAsia="Calibri"/>
          <w:iCs/>
          <w:szCs w:val="24"/>
        </w:rPr>
      </w:pPr>
      <w:r>
        <w:rPr>
          <w:rFonts w:eastAsia="Calibri"/>
          <w:iCs/>
          <w:szCs w:val="24"/>
        </w:rPr>
        <w:tab/>
      </w:r>
      <w:r w:rsidR="0040784F" w:rsidRPr="0040784F">
        <w:rPr>
          <w:rFonts w:eastAsia="Calibri"/>
          <w:iCs/>
          <w:szCs w:val="24"/>
        </w:rPr>
        <w:t>Siekiant subalansuotos Klaipėdos miesto ir priemiesčio plėtros, būtina vadovautis kompaktiško miesto principu, kuriam būdingas intensyvus, lokaliai išsidėsčiusių paslaugų naudojimas daugiafunkcėse urbanistinėse struktūrose, tvarus, išmanus ir ekonomiškas išteklių naudojimas, prieinama kokybiškų bei mišrių paslaugų pasiūla, skatinamas tankus apgyvendinimas prioretizuojant regeneracinę plėtrą, išvyst</w:t>
      </w:r>
      <w:r>
        <w:rPr>
          <w:rFonts w:eastAsia="Calibri"/>
          <w:iCs/>
          <w:szCs w:val="24"/>
        </w:rPr>
        <w:t>ant</w:t>
      </w:r>
      <w:r w:rsidR="0040784F" w:rsidRPr="0040784F">
        <w:rPr>
          <w:rFonts w:eastAsia="Calibri"/>
          <w:iCs/>
          <w:szCs w:val="24"/>
        </w:rPr>
        <w:t xml:space="preserve"> </w:t>
      </w:r>
      <w:r w:rsidRPr="0040784F">
        <w:rPr>
          <w:rFonts w:eastAsia="Calibri"/>
          <w:iCs/>
          <w:szCs w:val="24"/>
        </w:rPr>
        <w:t>viešą</w:t>
      </w:r>
      <w:r>
        <w:rPr>
          <w:rFonts w:eastAsia="Calibri"/>
          <w:iCs/>
          <w:szCs w:val="24"/>
        </w:rPr>
        <w:t>jį</w:t>
      </w:r>
      <w:r w:rsidR="0040784F" w:rsidRPr="0040784F">
        <w:rPr>
          <w:rFonts w:eastAsia="Calibri"/>
          <w:iCs/>
          <w:szCs w:val="24"/>
        </w:rPr>
        <w:t xml:space="preserve"> transport</w:t>
      </w:r>
      <w:r>
        <w:rPr>
          <w:rFonts w:eastAsia="Calibri"/>
          <w:iCs/>
          <w:szCs w:val="24"/>
        </w:rPr>
        <w:t>ą</w:t>
      </w:r>
      <w:r w:rsidR="0040784F" w:rsidRPr="0040784F">
        <w:rPr>
          <w:rFonts w:eastAsia="Calibri"/>
          <w:iCs/>
          <w:szCs w:val="24"/>
        </w:rPr>
        <w:t>, prioretizuoja</w:t>
      </w:r>
      <w:r>
        <w:rPr>
          <w:rFonts w:eastAsia="Calibri"/>
          <w:iCs/>
          <w:szCs w:val="24"/>
        </w:rPr>
        <w:t>nt</w:t>
      </w:r>
      <w:r w:rsidR="0040784F" w:rsidRPr="0040784F">
        <w:rPr>
          <w:rFonts w:eastAsia="Calibri"/>
          <w:iCs/>
          <w:szCs w:val="24"/>
        </w:rPr>
        <w:t xml:space="preserve"> judėjim</w:t>
      </w:r>
      <w:r>
        <w:rPr>
          <w:rFonts w:eastAsia="Calibri"/>
          <w:iCs/>
          <w:szCs w:val="24"/>
        </w:rPr>
        <w:t>ą</w:t>
      </w:r>
      <w:r w:rsidR="0040784F" w:rsidRPr="0040784F">
        <w:rPr>
          <w:rFonts w:eastAsia="Calibri"/>
          <w:iCs/>
          <w:szCs w:val="24"/>
        </w:rPr>
        <w:t xml:space="preserve"> dviračiais, pėsčiomis ar </w:t>
      </w:r>
      <w:r>
        <w:rPr>
          <w:rFonts w:eastAsia="Calibri"/>
          <w:iCs/>
          <w:szCs w:val="24"/>
        </w:rPr>
        <w:t>kitu</w:t>
      </w:r>
      <w:r w:rsidR="0040784F" w:rsidRPr="0040784F">
        <w:rPr>
          <w:rFonts w:eastAsia="Calibri"/>
          <w:iCs/>
          <w:szCs w:val="24"/>
        </w:rPr>
        <w:t xml:space="preserve"> ekologišku transportu</w:t>
      </w:r>
      <w:r>
        <w:rPr>
          <w:rFonts w:eastAsia="Calibri"/>
          <w:iCs/>
          <w:szCs w:val="24"/>
        </w:rPr>
        <w:t>,</w:t>
      </w:r>
      <w:r w:rsidR="0040784F" w:rsidRPr="0040784F">
        <w:rPr>
          <w:rFonts w:eastAsia="Calibri"/>
          <w:iCs/>
          <w:szCs w:val="24"/>
        </w:rPr>
        <w:t xml:space="preserve"> mažinant neigiamas ekologines pasekmes</w:t>
      </w:r>
      <w:r w:rsidR="0040784F">
        <w:rPr>
          <w:rFonts w:eastAsia="Calibri"/>
          <w:iCs/>
          <w:szCs w:val="24"/>
        </w:rPr>
        <w:t xml:space="preserve">. </w:t>
      </w:r>
      <w:r w:rsidR="0040784F" w:rsidRPr="0040784F">
        <w:rPr>
          <w:rFonts w:eastAsia="Calibri"/>
          <w:iCs/>
          <w:szCs w:val="24"/>
        </w:rPr>
        <w:t xml:space="preserve">Želdynų plotų didinimas </w:t>
      </w:r>
      <w:r>
        <w:rPr>
          <w:rFonts w:eastAsia="Calibri"/>
          <w:iCs/>
          <w:szCs w:val="24"/>
        </w:rPr>
        <w:t>turi</w:t>
      </w:r>
      <w:r w:rsidR="0040784F" w:rsidRPr="0040784F">
        <w:rPr>
          <w:rFonts w:eastAsia="Calibri"/>
          <w:iCs/>
          <w:szCs w:val="24"/>
        </w:rPr>
        <w:t xml:space="preserve"> įtakos ir priemiestinės teritorijos gyventojams, nes želdynai</w:t>
      </w:r>
      <w:r w:rsidR="0040784F">
        <w:rPr>
          <w:rFonts w:eastAsia="Calibri"/>
          <w:iCs/>
          <w:szCs w:val="24"/>
        </w:rPr>
        <w:t xml:space="preserve"> </w:t>
      </w:r>
      <w:r w:rsidR="0040784F" w:rsidRPr="0040784F">
        <w:rPr>
          <w:rFonts w:eastAsia="Calibri"/>
          <w:iCs/>
          <w:szCs w:val="24"/>
        </w:rPr>
        <w:t xml:space="preserve">įveisiami ir transporto srautų veikiamose teritorijose. Formuojamos žalios erdvės gali turėti įtakos ir miesto gyventojų norui pasilikti gyventi mieste, o ne keltis gyventi į priemiesčius, kadangi miesto teritorijos </w:t>
      </w:r>
      <w:r>
        <w:rPr>
          <w:rFonts w:eastAsia="Calibri"/>
          <w:iCs/>
          <w:szCs w:val="24"/>
        </w:rPr>
        <w:t>tampa</w:t>
      </w:r>
      <w:r w:rsidR="0040784F" w:rsidRPr="0040784F">
        <w:rPr>
          <w:rFonts w:eastAsia="Calibri"/>
          <w:iCs/>
          <w:szCs w:val="24"/>
        </w:rPr>
        <w:t xml:space="preserve"> patrauklesnės.</w:t>
      </w:r>
      <w:r w:rsidR="0040784F">
        <w:rPr>
          <w:rFonts w:eastAsia="Calibri"/>
          <w:iCs/>
          <w:szCs w:val="24"/>
        </w:rPr>
        <w:t xml:space="preserve"> </w:t>
      </w:r>
    </w:p>
    <w:p w14:paraId="72D5582C" w14:textId="77777777" w:rsidR="0040784F" w:rsidRDefault="0040784F" w:rsidP="0040784F">
      <w:pPr>
        <w:tabs>
          <w:tab w:val="left" w:pos="0"/>
          <w:tab w:val="left" w:pos="851"/>
        </w:tabs>
        <w:spacing w:line="276" w:lineRule="auto"/>
        <w:jc w:val="both"/>
        <w:rPr>
          <w:rFonts w:eastAsia="Calibri"/>
          <w:b/>
          <w:bCs/>
          <w:iCs/>
          <w:szCs w:val="24"/>
        </w:rPr>
      </w:pPr>
      <w:r>
        <w:rPr>
          <w:rFonts w:eastAsia="Calibri"/>
          <w:iCs/>
          <w:szCs w:val="24"/>
        </w:rPr>
        <w:tab/>
      </w:r>
      <w:r w:rsidRPr="0040784F">
        <w:rPr>
          <w:rFonts w:eastAsia="Calibri"/>
          <w:b/>
          <w:bCs/>
          <w:iCs/>
          <w:szCs w:val="24"/>
        </w:rPr>
        <w:t xml:space="preserve">Strategijos </w:t>
      </w:r>
      <w:r>
        <w:rPr>
          <w:rFonts w:eastAsia="Calibri"/>
          <w:b/>
          <w:bCs/>
          <w:iCs/>
          <w:szCs w:val="24"/>
        </w:rPr>
        <w:t>t</w:t>
      </w:r>
      <w:r w:rsidRPr="0040784F">
        <w:rPr>
          <w:rFonts w:eastAsia="Calibri"/>
          <w:b/>
          <w:bCs/>
          <w:iCs/>
          <w:szCs w:val="24"/>
        </w:rPr>
        <w:t>eritorijos potencialas</w:t>
      </w:r>
      <w:r>
        <w:rPr>
          <w:rFonts w:eastAsia="Calibri"/>
          <w:b/>
          <w:bCs/>
          <w:iCs/>
          <w:szCs w:val="24"/>
        </w:rPr>
        <w:t>:</w:t>
      </w:r>
    </w:p>
    <w:p w14:paraId="491BCA91" w14:textId="4AE8D933" w:rsidR="0040784F" w:rsidRPr="00A95825" w:rsidRDefault="0040784F" w:rsidP="0040784F">
      <w:pPr>
        <w:tabs>
          <w:tab w:val="left" w:pos="0"/>
          <w:tab w:val="left" w:pos="851"/>
        </w:tabs>
        <w:spacing w:line="276" w:lineRule="auto"/>
        <w:jc w:val="both"/>
        <w:rPr>
          <w:rFonts w:eastAsia="Calibri"/>
          <w:b/>
          <w:bCs/>
          <w:i/>
          <w:szCs w:val="24"/>
        </w:rPr>
      </w:pPr>
      <w:r>
        <w:rPr>
          <w:rFonts w:eastAsia="Calibri"/>
          <w:b/>
          <w:bCs/>
          <w:iCs/>
          <w:szCs w:val="24"/>
        </w:rPr>
        <w:tab/>
      </w:r>
      <w:r w:rsidRPr="00A95825">
        <w:rPr>
          <w:rFonts w:eastAsia="Calibri"/>
          <w:b/>
          <w:bCs/>
          <w:i/>
          <w:szCs w:val="24"/>
        </w:rPr>
        <w:t>1. Viešųjų erdvių ir žaliųjų plotų potencialas konversijai, atgaivinimui centrinėje ir šiaurinėje Strategijos teritorijos dalyse</w:t>
      </w:r>
      <w:r w:rsidR="00A95825" w:rsidRPr="00A95825">
        <w:rPr>
          <w:rFonts w:eastAsia="Calibri"/>
          <w:b/>
          <w:bCs/>
          <w:i/>
          <w:szCs w:val="24"/>
        </w:rPr>
        <w:t>.</w:t>
      </w:r>
    </w:p>
    <w:p w14:paraId="4A36ECEC" w14:textId="04C2A511" w:rsidR="0040784F" w:rsidRPr="0040784F" w:rsidRDefault="0040784F" w:rsidP="00A95825">
      <w:pPr>
        <w:tabs>
          <w:tab w:val="left" w:pos="0"/>
          <w:tab w:val="left" w:pos="851"/>
        </w:tabs>
        <w:spacing w:line="276" w:lineRule="auto"/>
        <w:jc w:val="both"/>
        <w:rPr>
          <w:rFonts w:eastAsia="Calibri"/>
          <w:iCs/>
          <w:szCs w:val="24"/>
        </w:rPr>
      </w:pPr>
      <w:r w:rsidRPr="0040784F">
        <w:rPr>
          <w:rFonts w:eastAsia="Calibri"/>
          <w:iCs/>
          <w:szCs w:val="24"/>
        </w:rPr>
        <w:t xml:space="preserve"> </w:t>
      </w:r>
      <w:r w:rsidR="00A95825">
        <w:rPr>
          <w:rFonts w:eastAsia="Calibri"/>
          <w:iCs/>
          <w:szCs w:val="24"/>
        </w:rPr>
        <w:tab/>
      </w:r>
      <w:r w:rsidRPr="0040784F">
        <w:rPr>
          <w:rFonts w:eastAsia="Calibri"/>
          <w:iCs/>
          <w:szCs w:val="24"/>
        </w:rPr>
        <w:t>Įvertinus 2014–2020 m. Klaipėdos miesto integruotos teritorijų vystymo programos įgyvendinimo patirtį nustatyta, kad sutvarkytos viešosios erdvės integruotų investicijų teritorijoje davė postūmį šalia esančių teritorijų vystymuisi. Teritorijoje įsiregistravusių verslo subjektų skaičius išaugo du kartus, taip pat išaugo sutvarkytas erdves lankančiųjų skaičius. Klaipėdos m</w:t>
      </w:r>
      <w:r w:rsidR="009133AD">
        <w:rPr>
          <w:rFonts w:eastAsia="Calibri"/>
          <w:iCs/>
          <w:szCs w:val="24"/>
        </w:rPr>
        <w:t>iesto</w:t>
      </w:r>
      <w:r w:rsidRPr="0040784F">
        <w:rPr>
          <w:rFonts w:eastAsia="Calibri"/>
          <w:iCs/>
          <w:szCs w:val="24"/>
        </w:rPr>
        <w:t xml:space="preserve"> centrinėje dalyje prie vandens vis dar yra buvusių gamybinių apleistų teritorijų („</w:t>
      </w:r>
      <w:proofErr w:type="spellStart"/>
      <w:r w:rsidRPr="0040784F">
        <w:rPr>
          <w:rFonts w:eastAsia="Calibri"/>
          <w:iCs/>
          <w:szCs w:val="24"/>
        </w:rPr>
        <w:t>Memelio</w:t>
      </w:r>
      <w:proofErr w:type="spellEnd"/>
      <w:r w:rsidRPr="0040784F">
        <w:rPr>
          <w:rFonts w:eastAsia="Calibri"/>
          <w:iCs/>
          <w:szCs w:val="24"/>
        </w:rPr>
        <w:t xml:space="preserve"> miestas“, AB „Klaipėdos energija“ teritorija), nesutvarkytų ir mažai naudojamų viešųjų erdvių (Senojo turgaus teritorija). Šiaurinėje Strategijos teritorijos dalyje išsaugota viešoji erdvė netoli miško teritorijos – Vasaros koncertų estrados prieigos, esančios šalia sparčiai urbanizuojamos teritorijos. Šias teritorijas tikslinga konvertuoti ir (ar) atgaivinti, nes turi panašų potencialą kaip ir tikslinėje teritorijoje sutvarkytos teritorijos. Vykstant sparčiai urbanizacijai, išsaugotos viešosios erdvės įgyja vis didesnę vertę, jose galima sukurti infrastruktūrą, atitinkančią šiuolaikinius reikalavimus ir gyventojų poreikius. </w:t>
      </w:r>
    </w:p>
    <w:p w14:paraId="382C082E" w14:textId="3A432590" w:rsidR="0040784F" w:rsidRPr="00A95825" w:rsidRDefault="00A95825" w:rsidP="0040784F">
      <w:pPr>
        <w:tabs>
          <w:tab w:val="left" w:pos="0"/>
          <w:tab w:val="left" w:pos="851"/>
        </w:tabs>
        <w:spacing w:line="276" w:lineRule="auto"/>
        <w:jc w:val="both"/>
        <w:rPr>
          <w:rFonts w:eastAsia="Calibri"/>
          <w:b/>
          <w:bCs/>
          <w:i/>
          <w:szCs w:val="24"/>
        </w:rPr>
      </w:pPr>
      <w:r>
        <w:rPr>
          <w:rFonts w:eastAsia="Calibri"/>
          <w:iCs/>
          <w:szCs w:val="24"/>
        </w:rPr>
        <w:tab/>
      </w:r>
      <w:r w:rsidRPr="00A95825">
        <w:rPr>
          <w:rFonts w:eastAsia="Calibri"/>
          <w:b/>
          <w:bCs/>
          <w:i/>
          <w:szCs w:val="24"/>
        </w:rPr>
        <w:t xml:space="preserve">2. </w:t>
      </w:r>
      <w:r w:rsidR="0040784F" w:rsidRPr="00A95825">
        <w:rPr>
          <w:rFonts w:eastAsia="Calibri"/>
          <w:b/>
          <w:bCs/>
          <w:i/>
          <w:szCs w:val="24"/>
        </w:rPr>
        <w:t>Miesto struktūra ir viešojo transporto sistema palanki įgyvendinti aplinkos taršą mažinančias priemones</w:t>
      </w:r>
      <w:r w:rsidR="009133AD">
        <w:rPr>
          <w:rFonts w:eastAsia="Calibri"/>
          <w:b/>
          <w:bCs/>
          <w:i/>
          <w:szCs w:val="24"/>
        </w:rPr>
        <w:t>.</w:t>
      </w:r>
    </w:p>
    <w:p w14:paraId="0C429C83" w14:textId="786A1C09" w:rsidR="0040784F" w:rsidRPr="0040784F" w:rsidRDefault="00A95825" w:rsidP="0040784F">
      <w:pPr>
        <w:tabs>
          <w:tab w:val="left" w:pos="0"/>
          <w:tab w:val="left" w:pos="851"/>
        </w:tabs>
        <w:spacing w:line="276" w:lineRule="auto"/>
        <w:jc w:val="both"/>
        <w:rPr>
          <w:rFonts w:eastAsia="Calibri"/>
          <w:iCs/>
          <w:szCs w:val="24"/>
        </w:rPr>
      </w:pPr>
      <w:r>
        <w:rPr>
          <w:rFonts w:eastAsia="Calibri"/>
          <w:iCs/>
          <w:szCs w:val="24"/>
        </w:rPr>
        <w:tab/>
      </w:r>
      <w:r w:rsidR="0040784F" w:rsidRPr="0040784F">
        <w:rPr>
          <w:rFonts w:eastAsia="Calibri"/>
          <w:iCs/>
          <w:szCs w:val="24"/>
        </w:rPr>
        <w:t>Klaipėda – klasikinis linijinės struktūros, kompaktiškas miestas. Miesto linijinė struktūra sudaro galimybes įgyvendinti aplinkos taršą mažinančias darnaus judumo priemones. Klaipėdos miestas turi tris magistralines gatves. Vienoje jų – Minijos–Pilies g. neseniai įdiegtos intelektinės transporto sistemos (vadinamoji žalioji banga), taip pat sutvarkyta pėsčiųjų ir dviračių takų danga, įrengtos saugumo salelės, įspėjamieji paviršiai regėjimo negalią turintiems žmonėms. Jeigu analogiškos priemonės būtų įgyvendintos kitose dviejose magistralinėse gatvėse (Taikos pr. ir Šilutės pl.), tada būtų užtikrintas transporto sistemos vientisumas.</w:t>
      </w:r>
    </w:p>
    <w:p w14:paraId="7904F833" w14:textId="08E01B40" w:rsidR="0040784F" w:rsidRPr="0040784F" w:rsidRDefault="001D6EB6" w:rsidP="0040784F">
      <w:pPr>
        <w:tabs>
          <w:tab w:val="left" w:pos="0"/>
          <w:tab w:val="left" w:pos="851"/>
        </w:tabs>
        <w:spacing w:line="276" w:lineRule="auto"/>
        <w:jc w:val="both"/>
        <w:rPr>
          <w:rFonts w:eastAsia="Calibri"/>
          <w:iCs/>
          <w:szCs w:val="24"/>
        </w:rPr>
      </w:pPr>
      <w:r>
        <w:rPr>
          <w:rFonts w:eastAsia="Calibri"/>
          <w:iCs/>
          <w:szCs w:val="24"/>
        </w:rPr>
        <w:tab/>
      </w:r>
      <w:r w:rsidR="0040784F" w:rsidRPr="0040784F">
        <w:rPr>
          <w:rFonts w:eastAsia="Calibri"/>
          <w:iCs/>
          <w:szCs w:val="24"/>
        </w:rPr>
        <w:t xml:space="preserve">Prielaidas automobilių eismo srautams mažinti sudaro subalansuota ir efektyvi Klaipėdos miesto viešojo transporto sistema. Viešojo transporto sistemos organizavimą, maršrutų nustatymą ir tvarkaraščių sudarymą Klaipėdos mieste ir rajone vykdo VšĮ „Klaipėdos keleivinis transportas“.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w:t>
      </w:r>
      <w:r w:rsidR="0040784F" w:rsidRPr="0040784F">
        <w:rPr>
          <w:rFonts w:eastAsia="Calibri"/>
          <w:iCs/>
          <w:szCs w:val="24"/>
        </w:rPr>
        <w:lastRenderedPageBreak/>
        <w:t>vykdomi 23 maršrutai į priemiesčio teritorijas. Maršrutų skaičius iš Klaipėdos miesto į priemiesčius ir visą Klaipėdos rajono savivaldybę didės. Ateityje planuojama pradėti vykdyti dar 13 maršrutų. Klaipėdos autobusai naudoja aplinkai draugišką kurą: mieste važinėja 51 dujomis varomas autobusas, du visiškai elektriniai autobusai.</w:t>
      </w:r>
      <w:r w:rsidR="009476CF">
        <w:rPr>
          <w:rFonts w:eastAsia="Calibri"/>
          <w:iCs/>
          <w:szCs w:val="24"/>
        </w:rPr>
        <w:t xml:space="preserve"> </w:t>
      </w:r>
      <w:r w:rsidR="0040784F" w:rsidRPr="0040784F">
        <w:rPr>
          <w:rFonts w:eastAsia="Calibri"/>
          <w:iCs/>
          <w:szCs w:val="24"/>
        </w:rPr>
        <w:t xml:space="preserve">2024 </w:t>
      </w:r>
      <w:r w:rsidR="009476CF">
        <w:rPr>
          <w:rFonts w:eastAsia="Calibri"/>
          <w:iCs/>
          <w:szCs w:val="24"/>
        </w:rPr>
        <w:t>metais miestą turėtų pasiekti</w:t>
      </w:r>
      <w:r w:rsidR="0040784F" w:rsidRPr="0040784F">
        <w:rPr>
          <w:rFonts w:eastAsia="Calibri"/>
          <w:iCs/>
          <w:szCs w:val="24"/>
        </w:rPr>
        <w:t xml:space="preserve"> </w:t>
      </w:r>
      <w:r w:rsidR="009476CF">
        <w:rPr>
          <w:rFonts w:eastAsia="Calibri"/>
          <w:iCs/>
          <w:szCs w:val="24"/>
        </w:rPr>
        <w:t xml:space="preserve">dar </w:t>
      </w:r>
      <w:r w:rsidR="0040784F" w:rsidRPr="0040784F">
        <w:rPr>
          <w:rFonts w:eastAsia="Calibri"/>
          <w:iCs/>
          <w:szCs w:val="24"/>
        </w:rPr>
        <w:t>11</w:t>
      </w:r>
      <w:r w:rsidR="009476CF">
        <w:rPr>
          <w:rFonts w:eastAsia="Calibri"/>
          <w:iCs/>
          <w:szCs w:val="24"/>
        </w:rPr>
        <w:t xml:space="preserve"> elektrinių autobusų</w:t>
      </w:r>
      <w:r w:rsidR="0040784F" w:rsidRPr="0040784F">
        <w:rPr>
          <w:rFonts w:eastAsia="Calibri"/>
          <w:iCs/>
          <w:szCs w:val="24"/>
        </w:rPr>
        <w:t>, 10 elektrinių autobusų 2024 m</w:t>
      </w:r>
      <w:r w:rsidR="009476CF">
        <w:rPr>
          <w:rFonts w:eastAsia="Calibri"/>
          <w:iCs/>
          <w:szCs w:val="24"/>
        </w:rPr>
        <w:t>etais</w:t>
      </w:r>
      <w:r w:rsidR="0040784F" w:rsidRPr="0040784F">
        <w:rPr>
          <w:rFonts w:eastAsia="Calibri"/>
          <w:iCs/>
          <w:szCs w:val="24"/>
        </w:rPr>
        <w:t xml:space="preserve"> bus įsigyt</w:t>
      </w:r>
      <w:r w:rsidR="009476CF">
        <w:rPr>
          <w:rFonts w:eastAsia="Calibri"/>
          <w:iCs/>
          <w:szCs w:val="24"/>
        </w:rPr>
        <w:t>i</w:t>
      </w:r>
      <w:r w:rsidR="0040784F" w:rsidRPr="0040784F">
        <w:rPr>
          <w:rFonts w:eastAsia="Calibri"/>
          <w:iCs/>
          <w:szCs w:val="24"/>
        </w:rPr>
        <w:t xml:space="preserve"> per veiklos nuomą.</w:t>
      </w:r>
    </w:p>
    <w:p w14:paraId="4615A3D0" w14:textId="77777777" w:rsidR="007E2078" w:rsidRPr="0040784F" w:rsidRDefault="007E2078" w:rsidP="007E2078">
      <w:pPr>
        <w:tabs>
          <w:tab w:val="left" w:pos="0"/>
        </w:tabs>
        <w:spacing w:line="276" w:lineRule="auto"/>
        <w:jc w:val="center"/>
        <w:rPr>
          <w:rFonts w:eastAsia="Calibri"/>
          <w:b/>
          <w:bCs/>
          <w:i/>
          <w:szCs w:val="24"/>
        </w:rPr>
      </w:pPr>
    </w:p>
    <w:p w14:paraId="23148B99" w14:textId="33097FB6" w:rsidR="007E2078" w:rsidRPr="00057701" w:rsidRDefault="001D6EB6" w:rsidP="007E2078">
      <w:pPr>
        <w:tabs>
          <w:tab w:val="left" w:pos="0"/>
        </w:tabs>
        <w:spacing w:line="276" w:lineRule="auto"/>
        <w:jc w:val="center"/>
        <w:rPr>
          <w:rFonts w:eastAsia="Calibri"/>
          <w:iCs/>
          <w:szCs w:val="24"/>
        </w:rPr>
      </w:pPr>
      <w:r>
        <w:rPr>
          <w:rFonts w:eastAsia="Calibri"/>
          <w:iCs/>
          <w:noProof/>
          <w:szCs w:val="24"/>
          <w:lang w:eastAsia="lt-LT"/>
        </w:rPr>
        <w:drawing>
          <wp:inline distT="0" distB="0" distL="0" distR="0" wp14:anchorId="20DF288A" wp14:editId="4BDCE61F">
            <wp:extent cx="6144260" cy="3162300"/>
            <wp:effectExtent l="0" t="0" r="8890" b="0"/>
            <wp:docPr id="18131887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6167440" cy="3174230"/>
                    </a:xfrm>
                    <a:prstGeom prst="rect">
                      <a:avLst/>
                    </a:prstGeom>
                    <a:noFill/>
                  </pic:spPr>
                </pic:pic>
              </a:graphicData>
            </a:graphic>
          </wp:inline>
        </w:drawing>
      </w:r>
    </w:p>
    <w:p w14:paraId="227854D5" w14:textId="54223939" w:rsidR="001D6EB6" w:rsidRPr="00054218" w:rsidRDefault="007608A3" w:rsidP="00054218">
      <w:pPr>
        <w:pStyle w:val="Caption"/>
        <w:spacing w:after="120"/>
        <w:jc w:val="center"/>
        <w:rPr>
          <w:rFonts w:eastAsia="Calibri"/>
          <w:i w:val="0"/>
          <w:iCs w:val="0"/>
          <w:color w:val="auto"/>
          <w:sz w:val="22"/>
          <w:szCs w:val="22"/>
        </w:rPr>
      </w:pPr>
      <w:r w:rsidRPr="007608A3">
        <w:rPr>
          <w:b/>
          <w:bCs/>
          <w:i w:val="0"/>
          <w:iCs w:val="0"/>
          <w:color w:val="auto"/>
          <w:sz w:val="22"/>
          <w:szCs w:val="22"/>
        </w:rPr>
        <w:fldChar w:fldCharType="begin"/>
      </w:r>
      <w:r w:rsidRPr="007608A3">
        <w:rPr>
          <w:b/>
          <w:bCs/>
          <w:i w:val="0"/>
          <w:iCs w:val="0"/>
          <w:color w:val="auto"/>
          <w:sz w:val="22"/>
          <w:szCs w:val="22"/>
        </w:rPr>
        <w:instrText xml:space="preserve"> SEQ pav. \* ARABIC </w:instrText>
      </w:r>
      <w:r w:rsidRPr="007608A3">
        <w:rPr>
          <w:b/>
          <w:bCs/>
          <w:i w:val="0"/>
          <w:iCs w:val="0"/>
          <w:color w:val="auto"/>
          <w:sz w:val="22"/>
          <w:szCs w:val="22"/>
        </w:rPr>
        <w:fldChar w:fldCharType="separate"/>
      </w:r>
      <w:r w:rsidRPr="007608A3">
        <w:rPr>
          <w:b/>
          <w:bCs/>
          <w:i w:val="0"/>
          <w:iCs w:val="0"/>
          <w:noProof/>
          <w:color w:val="auto"/>
          <w:sz w:val="22"/>
          <w:szCs w:val="22"/>
        </w:rPr>
        <w:t>2</w:t>
      </w:r>
      <w:r w:rsidRPr="007608A3">
        <w:rPr>
          <w:b/>
          <w:bCs/>
          <w:i w:val="0"/>
          <w:iCs w:val="0"/>
          <w:color w:val="auto"/>
          <w:sz w:val="22"/>
          <w:szCs w:val="22"/>
        </w:rPr>
        <w:fldChar w:fldCharType="end"/>
      </w:r>
      <w:r w:rsidRPr="007608A3">
        <w:rPr>
          <w:b/>
          <w:bCs/>
          <w:i w:val="0"/>
          <w:iCs w:val="0"/>
          <w:color w:val="auto"/>
          <w:sz w:val="22"/>
          <w:szCs w:val="22"/>
        </w:rPr>
        <w:t xml:space="preserve"> </w:t>
      </w:r>
      <w:r w:rsidR="001D6EB6" w:rsidRPr="007608A3">
        <w:rPr>
          <w:rFonts w:eastAsia="Calibri"/>
          <w:b/>
          <w:bCs/>
          <w:i w:val="0"/>
          <w:iCs w:val="0"/>
          <w:color w:val="auto"/>
          <w:sz w:val="22"/>
          <w:szCs w:val="22"/>
        </w:rPr>
        <w:t xml:space="preserve">pav. </w:t>
      </w:r>
      <w:r w:rsidR="001D6EB6" w:rsidRPr="007608A3">
        <w:rPr>
          <w:rFonts w:eastAsia="Calibri"/>
          <w:i w:val="0"/>
          <w:iCs w:val="0"/>
          <w:color w:val="auto"/>
          <w:sz w:val="22"/>
          <w:szCs w:val="22"/>
        </w:rPr>
        <w:t>Teritorijos stiprybių, silpnybių, galimybių ir grėsmių (toliau – SSGG) analizė</w:t>
      </w:r>
    </w:p>
    <w:p w14:paraId="33F69C1B" w14:textId="7DB86427" w:rsidR="001D6EB6" w:rsidRPr="001D6EB6" w:rsidRDefault="001D6EB6" w:rsidP="001D6EB6">
      <w:pPr>
        <w:tabs>
          <w:tab w:val="left" w:pos="0"/>
          <w:tab w:val="left" w:pos="851"/>
        </w:tabs>
        <w:spacing w:line="276" w:lineRule="auto"/>
        <w:jc w:val="both"/>
        <w:rPr>
          <w:rFonts w:eastAsia="Calibri"/>
          <w:iCs/>
          <w:szCs w:val="24"/>
        </w:rPr>
      </w:pPr>
      <w:r>
        <w:rPr>
          <w:rFonts w:eastAsia="Calibri"/>
          <w:iCs/>
          <w:szCs w:val="24"/>
        </w:rPr>
        <w:tab/>
      </w:r>
      <w:r w:rsidR="00396B41">
        <w:rPr>
          <w:rFonts w:eastAsia="Calibri"/>
          <w:iCs/>
          <w:szCs w:val="24"/>
        </w:rPr>
        <w:t>Apibendrinant tai, ka</w:t>
      </w:r>
      <w:r w:rsidR="000A3400">
        <w:rPr>
          <w:rFonts w:eastAsia="Calibri"/>
          <w:iCs/>
          <w:szCs w:val="24"/>
        </w:rPr>
        <w:t>s</w:t>
      </w:r>
      <w:r w:rsidR="00396B41">
        <w:rPr>
          <w:rFonts w:eastAsia="Calibri"/>
          <w:iCs/>
          <w:szCs w:val="24"/>
        </w:rPr>
        <w:t xml:space="preserve"> išdėstyta</w:t>
      </w:r>
      <w:r w:rsidR="003D63CA">
        <w:rPr>
          <w:rFonts w:eastAsia="Calibri"/>
          <w:iCs/>
          <w:szCs w:val="24"/>
        </w:rPr>
        <w:t>,</w:t>
      </w:r>
      <w:r w:rsidR="00396B41">
        <w:rPr>
          <w:rFonts w:eastAsia="Calibri"/>
          <w:iCs/>
          <w:szCs w:val="24"/>
        </w:rPr>
        <w:t xml:space="preserve"> ir atsižvelgiant į siekį užtikrinti</w:t>
      </w:r>
      <w:r w:rsidRPr="001D6EB6">
        <w:rPr>
          <w:rFonts w:eastAsia="Calibri"/>
          <w:iCs/>
          <w:szCs w:val="24"/>
        </w:rPr>
        <w:t xml:space="preserve"> efektyv</w:t>
      </w:r>
      <w:r w:rsidR="00396B41">
        <w:rPr>
          <w:rFonts w:eastAsia="Calibri"/>
          <w:iCs/>
          <w:szCs w:val="24"/>
        </w:rPr>
        <w:t>ų</w:t>
      </w:r>
      <w:r w:rsidRPr="001D6EB6">
        <w:rPr>
          <w:rFonts w:eastAsia="Calibri"/>
          <w:iCs/>
          <w:szCs w:val="24"/>
        </w:rPr>
        <w:t xml:space="preserve"> ir tolyg</w:t>
      </w:r>
      <w:r w:rsidR="00396B41">
        <w:rPr>
          <w:rFonts w:eastAsia="Calibri"/>
          <w:iCs/>
          <w:szCs w:val="24"/>
        </w:rPr>
        <w:t>ų</w:t>
      </w:r>
      <w:r w:rsidRPr="001D6EB6">
        <w:rPr>
          <w:rFonts w:eastAsia="Calibri"/>
          <w:iCs/>
          <w:szCs w:val="24"/>
        </w:rPr>
        <w:t xml:space="preserve"> viešųjų paslaugų išdėstym</w:t>
      </w:r>
      <w:r w:rsidR="00396B41">
        <w:rPr>
          <w:rFonts w:eastAsia="Calibri"/>
          <w:iCs/>
          <w:szCs w:val="24"/>
        </w:rPr>
        <w:t>ą</w:t>
      </w:r>
      <w:r w:rsidRPr="001D6EB6">
        <w:rPr>
          <w:rFonts w:eastAsia="Calibri"/>
          <w:iCs/>
          <w:szCs w:val="24"/>
        </w:rPr>
        <w:t>, kokyb</w:t>
      </w:r>
      <w:r w:rsidR="00396B41">
        <w:rPr>
          <w:rFonts w:eastAsia="Calibri"/>
          <w:iCs/>
          <w:szCs w:val="24"/>
        </w:rPr>
        <w:t>ę</w:t>
      </w:r>
      <w:r w:rsidRPr="001D6EB6">
        <w:rPr>
          <w:rFonts w:eastAsia="Calibri"/>
          <w:iCs/>
          <w:szCs w:val="24"/>
        </w:rPr>
        <w:t xml:space="preserve">, </w:t>
      </w:r>
      <w:r w:rsidR="00396B41">
        <w:rPr>
          <w:rFonts w:eastAsia="Calibri"/>
          <w:iCs/>
          <w:szCs w:val="24"/>
        </w:rPr>
        <w:t>numatoma</w:t>
      </w:r>
      <w:r w:rsidRPr="001D6EB6">
        <w:rPr>
          <w:rFonts w:eastAsia="Calibri"/>
          <w:iCs/>
          <w:szCs w:val="24"/>
        </w:rPr>
        <w:t xml:space="preserve"> mažinti vietų trūkumą ikimokyklinėse įstaigose bei didinti sveikatos paslaugų prieinamumą. Taip bus </w:t>
      </w:r>
      <w:r w:rsidR="00396B41">
        <w:rPr>
          <w:rFonts w:eastAsia="Calibri"/>
          <w:iCs/>
          <w:szCs w:val="24"/>
        </w:rPr>
        <w:t>užtikrinamas</w:t>
      </w:r>
      <w:r w:rsidRPr="001D6EB6">
        <w:rPr>
          <w:rFonts w:eastAsia="Calibri"/>
          <w:iCs/>
          <w:szCs w:val="24"/>
        </w:rPr>
        <w:t xml:space="preserve"> švietimo reformos nuostat</w:t>
      </w:r>
      <w:r w:rsidR="00396B41">
        <w:rPr>
          <w:rFonts w:eastAsia="Calibri"/>
          <w:iCs/>
          <w:szCs w:val="24"/>
        </w:rPr>
        <w:t>ų</w:t>
      </w:r>
      <w:r w:rsidRPr="001D6EB6">
        <w:rPr>
          <w:rFonts w:eastAsia="Calibri"/>
          <w:iCs/>
          <w:szCs w:val="24"/>
        </w:rPr>
        <w:t xml:space="preserve"> dėl visuotinio ikimokyklinio ugdymo įgyvendinim</w:t>
      </w:r>
      <w:r w:rsidR="00396B41">
        <w:rPr>
          <w:rFonts w:eastAsia="Calibri"/>
          <w:iCs/>
          <w:szCs w:val="24"/>
        </w:rPr>
        <w:t xml:space="preserve">as, o kuriant </w:t>
      </w:r>
      <w:r w:rsidRPr="001D6EB6">
        <w:rPr>
          <w:rFonts w:eastAsia="Calibri"/>
          <w:iCs/>
          <w:szCs w:val="24"/>
        </w:rPr>
        <w:t>Klaipėdos miesto sveikatos centr</w:t>
      </w:r>
      <w:r w:rsidR="00396B41">
        <w:rPr>
          <w:rFonts w:eastAsia="Calibri"/>
          <w:iCs/>
          <w:szCs w:val="24"/>
        </w:rPr>
        <w:t>ą</w:t>
      </w:r>
      <w:r w:rsidRPr="001D6EB6">
        <w:rPr>
          <w:rFonts w:eastAsia="Calibri"/>
          <w:iCs/>
          <w:szCs w:val="24"/>
        </w:rPr>
        <w:t>, atsižvelgiant į visuomenės senėjimo grėsmę, dėl to augantį sveikatos priežiūros paslaugų poreikį, bus siekiama sukurti šiuolaikinius poreikius atitinkančių sveikatos priežiūros paslaugų pasiūlą. Tokiu būdu bus sudarytos sąlygos greičiau ir efektyviau įgyvendinti sveikatos reformą. Šiuolaikinius poreikius atitinkančių paslaugų pasiūla sudarys sąlygas visuomenei ilgesnį laiką išlikti darbingais.</w:t>
      </w:r>
    </w:p>
    <w:p w14:paraId="16CF8BBB" w14:textId="414A03D3" w:rsidR="001D6EB6" w:rsidRPr="001D6EB6" w:rsidRDefault="001D6EB6" w:rsidP="001D6EB6">
      <w:pPr>
        <w:tabs>
          <w:tab w:val="left" w:pos="0"/>
          <w:tab w:val="left" w:pos="851"/>
        </w:tabs>
        <w:spacing w:line="276" w:lineRule="auto"/>
        <w:jc w:val="both"/>
        <w:rPr>
          <w:rFonts w:eastAsia="Calibri"/>
          <w:iCs/>
          <w:szCs w:val="24"/>
        </w:rPr>
      </w:pPr>
      <w:r>
        <w:rPr>
          <w:rFonts w:eastAsia="Calibri"/>
          <w:iCs/>
          <w:szCs w:val="24"/>
        </w:rPr>
        <w:tab/>
      </w:r>
      <w:r w:rsidRPr="001D6EB6">
        <w:rPr>
          <w:rFonts w:eastAsia="Calibri"/>
          <w:iCs/>
          <w:szCs w:val="24"/>
        </w:rPr>
        <w:t xml:space="preserve">Išnaudojant viešųjų erdvių, tinkamų konversijai, potencialą, kuriant (atnaujinant) žaliąsias erdves, bus siekiama prisidėti prie efektyvesnio klimato kaitos poveikio mažinimo, aplinkos užterštumo dėl augančios urbanizacijos stabdymo ir augančių energijos resursų grėsmės mažinimo. Pasinaudojant Lietuvoje ir Europos Sąjungoje įgyvendinamomis Žaliojo kurso iniciatyvomis, bus kuriamos įvairių amžiaus grupių gyventojų poreikius atitinkančios viešosios (ypač žaliosios) erdvės. </w:t>
      </w:r>
    </w:p>
    <w:p w14:paraId="7B56DDA3" w14:textId="36949C4D" w:rsidR="000E649B" w:rsidRDefault="001D6EB6" w:rsidP="00122184">
      <w:pPr>
        <w:tabs>
          <w:tab w:val="left" w:pos="0"/>
        </w:tabs>
        <w:spacing w:line="276" w:lineRule="auto"/>
        <w:jc w:val="both"/>
        <w:rPr>
          <w:rFonts w:eastAsia="Calibri"/>
          <w:iCs/>
          <w:szCs w:val="24"/>
        </w:rPr>
      </w:pPr>
      <w:r w:rsidRPr="001D6EB6">
        <w:rPr>
          <w:rFonts w:eastAsia="Calibri"/>
          <w:iCs/>
          <w:szCs w:val="24"/>
        </w:rPr>
        <w:t>Atsižvelgiant į tai, kad miestas turi kompaktišką linijinę struktūrą, efektyviai veikiančią viešojo transporto sistemą, planuojama mažinti aplinkos užterštumą dėl transporto srautų: vykdyti subalansuotą judumo sistemų plėtrą, apimančią bemotorį transportą, eismo saugumą, eismo organizavimo valdymą ir žmonių, turinčių specialiųjų poreikių, įtrauktį. Mažinant aplinkos užterštumą dėl transporto srautų, bus prisidedama prie Žaliojo kurso tikslų įgyvendinimo, energijos išteklių poreikio mažinimo.</w:t>
      </w:r>
    </w:p>
    <w:p w14:paraId="07833104" w14:textId="3F42B769" w:rsidR="00122184" w:rsidRDefault="003772B1" w:rsidP="00956E7C">
      <w:pPr>
        <w:tabs>
          <w:tab w:val="left" w:pos="0"/>
          <w:tab w:val="left" w:pos="851"/>
        </w:tabs>
        <w:spacing w:line="276" w:lineRule="auto"/>
        <w:jc w:val="both"/>
        <w:rPr>
          <w:rFonts w:eastAsia="Calibri"/>
          <w:iCs/>
          <w:szCs w:val="24"/>
        </w:rPr>
      </w:pPr>
      <w:r>
        <w:rPr>
          <w:rFonts w:eastAsia="Calibri"/>
          <w:iCs/>
          <w:szCs w:val="24"/>
        </w:rPr>
        <w:tab/>
        <w:t xml:space="preserve">Darnaus judumo sprendimai įgyvendinami pagal kitą </w:t>
      </w:r>
      <w:r w:rsidR="00391BB5">
        <w:rPr>
          <w:rFonts w:eastAsia="Calibri"/>
          <w:iCs/>
          <w:szCs w:val="24"/>
        </w:rPr>
        <w:t>K</w:t>
      </w:r>
      <w:r>
        <w:rPr>
          <w:rFonts w:eastAsia="Calibri"/>
          <w:iCs/>
          <w:szCs w:val="24"/>
        </w:rPr>
        <w:t>RPP</w:t>
      </w:r>
      <w:r w:rsidR="00391BB5">
        <w:rPr>
          <w:rFonts w:eastAsia="Calibri"/>
          <w:iCs/>
          <w:szCs w:val="24"/>
        </w:rPr>
        <w:t>l</w:t>
      </w:r>
      <w:r>
        <w:rPr>
          <w:rFonts w:eastAsia="Calibri"/>
          <w:iCs/>
          <w:szCs w:val="24"/>
        </w:rPr>
        <w:t xml:space="preserve"> pažangos priemonę </w:t>
      </w:r>
      <w:r w:rsidR="00C36DB2">
        <w:rPr>
          <w:rFonts w:eastAsia="Calibri"/>
          <w:iCs/>
          <w:szCs w:val="24"/>
        </w:rPr>
        <w:t xml:space="preserve">– </w:t>
      </w:r>
      <w:r w:rsidR="00637F93">
        <w:rPr>
          <w:rFonts w:eastAsia="Calibri"/>
          <w:iCs/>
          <w:szCs w:val="24"/>
        </w:rPr>
        <w:t xml:space="preserve">Nr. </w:t>
      </w:r>
      <w:r w:rsidR="00637F93" w:rsidRPr="003772B1">
        <w:rPr>
          <w:rFonts w:eastAsia="Calibri"/>
          <w:iCs/>
          <w:szCs w:val="24"/>
        </w:rPr>
        <w:t>LT023-02-02-05</w:t>
      </w:r>
      <w:r w:rsidR="00637F93">
        <w:rPr>
          <w:rFonts w:eastAsia="Calibri"/>
          <w:iCs/>
          <w:szCs w:val="24"/>
        </w:rPr>
        <w:t xml:space="preserve"> </w:t>
      </w:r>
      <w:r>
        <w:rPr>
          <w:rFonts w:eastAsia="Calibri"/>
          <w:iCs/>
          <w:szCs w:val="24"/>
        </w:rPr>
        <w:t>„</w:t>
      </w:r>
      <w:r w:rsidRPr="003772B1">
        <w:rPr>
          <w:rFonts w:eastAsia="Calibri"/>
          <w:iCs/>
          <w:szCs w:val="24"/>
        </w:rPr>
        <w:t>Diegti darnaus judumo priemones miestuose</w:t>
      </w:r>
      <w:r>
        <w:rPr>
          <w:rFonts w:eastAsia="Calibri"/>
          <w:iCs/>
          <w:szCs w:val="24"/>
        </w:rPr>
        <w:t xml:space="preserve">“. </w:t>
      </w:r>
    </w:p>
    <w:p w14:paraId="58DFAE24" w14:textId="77777777" w:rsidR="0093014A" w:rsidRPr="00122184" w:rsidRDefault="0093014A" w:rsidP="00956E7C">
      <w:pPr>
        <w:tabs>
          <w:tab w:val="left" w:pos="0"/>
          <w:tab w:val="left" w:pos="851"/>
        </w:tabs>
        <w:spacing w:line="276" w:lineRule="auto"/>
        <w:jc w:val="both"/>
        <w:rPr>
          <w:rFonts w:eastAsia="Calibri"/>
          <w:iCs/>
          <w:szCs w:val="24"/>
        </w:rPr>
      </w:pPr>
    </w:p>
    <w:p w14:paraId="5080DF16" w14:textId="4C42FEC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III SKYRIUS</w:t>
      </w:r>
    </w:p>
    <w:p w14:paraId="5080DF17" w14:textId="13B6ED34"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ĮGYVENDINIMO TERITORIJA</w:t>
      </w:r>
    </w:p>
    <w:p w14:paraId="5080DF18" w14:textId="77777777" w:rsidR="00F15D0E" w:rsidRDefault="00F15D0E" w:rsidP="001110F2">
      <w:pPr>
        <w:spacing w:line="276" w:lineRule="auto"/>
        <w:ind w:firstLine="567"/>
        <w:jc w:val="center"/>
      </w:pPr>
    </w:p>
    <w:p w14:paraId="763FEBFC" w14:textId="408AC06C" w:rsidR="000E649B" w:rsidRDefault="000E649B" w:rsidP="001110F2">
      <w:pPr>
        <w:spacing w:line="276" w:lineRule="auto"/>
        <w:ind w:firstLine="851"/>
        <w:jc w:val="both"/>
        <w:rPr>
          <w:iCs/>
        </w:rPr>
      </w:pPr>
      <w:r w:rsidRPr="00F67267">
        <w:rPr>
          <w:iCs/>
        </w:rPr>
        <w:t>Pažangos</w:t>
      </w:r>
      <w:r>
        <w:rPr>
          <w:iCs/>
        </w:rPr>
        <w:t xml:space="preserve"> priemonė įgyvendinama Klaipėdos miesto</w:t>
      </w:r>
      <w:r w:rsidR="00BC06A4">
        <w:rPr>
          <w:iCs/>
        </w:rPr>
        <w:t xml:space="preserve"> ir Klaipėdos rajono</w:t>
      </w:r>
      <w:r w:rsidR="00E136C0">
        <w:rPr>
          <w:iCs/>
        </w:rPr>
        <w:t xml:space="preserve"> </w:t>
      </w:r>
      <w:r>
        <w:rPr>
          <w:iCs/>
        </w:rPr>
        <w:t>savivaldybė</w:t>
      </w:r>
      <w:r w:rsidR="00BC06A4">
        <w:rPr>
          <w:iCs/>
        </w:rPr>
        <w:t>s</w:t>
      </w:r>
      <w:r w:rsidR="00E136C0">
        <w:rPr>
          <w:iCs/>
        </w:rPr>
        <w:t>e</w:t>
      </w:r>
      <w:r>
        <w:rPr>
          <w:iCs/>
        </w:rPr>
        <w:t>.</w:t>
      </w:r>
    </w:p>
    <w:p w14:paraId="57843FBD" w14:textId="77777777" w:rsidR="007C3040" w:rsidRDefault="007C3040" w:rsidP="001110F2">
      <w:pPr>
        <w:spacing w:line="276" w:lineRule="auto"/>
        <w:ind w:firstLine="567"/>
        <w:jc w:val="center"/>
        <w:rPr>
          <w:b/>
          <w:bCs/>
        </w:rPr>
      </w:pPr>
    </w:p>
    <w:p w14:paraId="5080DF1B" w14:textId="5F6597FA"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IV SKYRIUS</w:t>
      </w:r>
    </w:p>
    <w:p w14:paraId="5080DF1C" w14:textId="19E8AEB1"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VEIKLOS, PROJEKTŲ VYKDYTOJAI IR PARTNERIAI</w:t>
      </w:r>
    </w:p>
    <w:p w14:paraId="5080DF1D" w14:textId="77777777" w:rsidR="00F15D0E" w:rsidRDefault="00F15D0E" w:rsidP="001110F2">
      <w:pPr>
        <w:spacing w:line="276" w:lineRule="auto"/>
        <w:ind w:firstLine="567"/>
        <w:jc w:val="both"/>
      </w:pPr>
    </w:p>
    <w:p w14:paraId="7D7F1825" w14:textId="6DC2D5E9" w:rsidR="007C3040" w:rsidRPr="00EB701E" w:rsidRDefault="007C3040" w:rsidP="00EB701E">
      <w:pPr>
        <w:tabs>
          <w:tab w:val="left" w:pos="598"/>
        </w:tabs>
        <w:spacing w:line="276" w:lineRule="auto"/>
        <w:ind w:firstLine="851"/>
        <w:jc w:val="both"/>
      </w:pPr>
      <w:r w:rsidRPr="00EB701E">
        <w:t>Pažangos priemone</w:t>
      </w:r>
      <w:r w:rsidR="00CB7BC7" w:rsidRPr="00EB701E">
        <w:t xml:space="preserve"> </w:t>
      </w:r>
      <w:r w:rsidRPr="00EB701E">
        <w:t>įgyvendinama viena veikla</w:t>
      </w:r>
      <w:r w:rsidR="00C95F94" w:rsidRPr="00EB701E">
        <w:t xml:space="preserve"> –</w:t>
      </w:r>
      <w:r w:rsidRPr="00EB701E">
        <w:t xml:space="preserve"> </w:t>
      </w:r>
      <w:r w:rsidR="00DA4E5A" w:rsidRPr="00EB701E">
        <w:t>„</w:t>
      </w:r>
      <w:r w:rsidR="00610596" w:rsidRPr="00610596">
        <w:t>Tvarios ir subalansuotos aplinkos užtikrinimas Klaipėdos mieste</w:t>
      </w:r>
      <w:r w:rsidR="00DA4E5A" w:rsidRPr="00EB701E">
        <w:t>“</w:t>
      </w:r>
      <w:r w:rsidRPr="00EB701E">
        <w:t>.</w:t>
      </w:r>
      <w:r w:rsidR="00EB701E">
        <w:t xml:space="preserve"> </w:t>
      </w:r>
      <w:r w:rsidRPr="00EB701E">
        <w:t xml:space="preserve">Veikla tiesiogiai siejasi su </w:t>
      </w:r>
      <w:r w:rsidR="00807D88">
        <w:t>K</w:t>
      </w:r>
      <w:r w:rsidRPr="00EB701E">
        <w:t>RPP</w:t>
      </w:r>
      <w:r w:rsidR="00807D88">
        <w:t>l</w:t>
      </w:r>
      <w:r w:rsidRPr="00EB701E">
        <w:t xml:space="preserve"> </w:t>
      </w:r>
      <w:r w:rsidR="00EB701E" w:rsidRPr="00EB701E">
        <w:t xml:space="preserve">1-os problemos „Regionas nepakankamai patrauklus aukštesnės pridėtinės vertės verslui“ gilumine priežastimi 1.1. „Nesudarytos patrauklios sąlygos aukštesnę pridėtinę vertę kuriančių ekonomikos šakų pritraukimui į regioną“. </w:t>
      </w:r>
      <w:r w:rsidR="002B42F4" w:rsidRPr="00EB701E">
        <w:t>Pagal nurodytą p</w:t>
      </w:r>
      <w:r w:rsidRPr="00EB701E">
        <w:t>ažangos priemon</w:t>
      </w:r>
      <w:r w:rsidR="002B42F4" w:rsidRPr="00EB701E">
        <w:t>ę</w:t>
      </w:r>
      <w:r w:rsidRPr="00EB701E">
        <w:t xml:space="preserve"> planuojama įgyvendinti </w:t>
      </w:r>
      <w:r w:rsidR="00A936E1">
        <w:t>septynis</w:t>
      </w:r>
      <w:r w:rsidR="00F56B7A" w:rsidRPr="00EB701E">
        <w:t xml:space="preserve"> projekt</w:t>
      </w:r>
      <w:r w:rsidR="00A936E1">
        <w:t>us</w:t>
      </w:r>
      <w:r w:rsidR="00D40F0A" w:rsidRPr="00EB701E">
        <w:t xml:space="preserve"> (žr. 2 lentelę).</w:t>
      </w:r>
    </w:p>
    <w:p w14:paraId="46B4047D" w14:textId="1050FD85" w:rsidR="00D40F0A" w:rsidRPr="00DD764B" w:rsidRDefault="00DD764B" w:rsidP="00DD764B">
      <w:pPr>
        <w:pStyle w:val="Caption"/>
        <w:spacing w:before="120" w:after="40"/>
        <w:rPr>
          <w:i w:val="0"/>
          <w:iCs w:val="0"/>
          <w:color w:val="auto"/>
          <w:sz w:val="22"/>
          <w:szCs w:val="22"/>
        </w:rPr>
      </w:pPr>
      <w:r w:rsidRPr="00DD764B">
        <w:rPr>
          <w:b/>
          <w:bCs/>
          <w:i w:val="0"/>
          <w:iCs w:val="0"/>
          <w:color w:val="auto"/>
          <w:sz w:val="22"/>
          <w:szCs w:val="22"/>
        </w:rPr>
        <w:fldChar w:fldCharType="begin"/>
      </w:r>
      <w:r w:rsidRPr="00DD764B">
        <w:rPr>
          <w:b/>
          <w:bCs/>
          <w:i w:val="0"/>
          <w:iCs w:val="0"/>
          <w:color w:val="auto"/>
          <w:sz w:val="22"/>
          <w:szCs w:val="22"/>
        </w:rPr>
        <w:instrText xml:space="preserve"> SEQ lentelė \* ARABIC </w:instrText>
      </w:r>
      <w:r w:rsidRPr="00DD764B">
        <w:rPr>
          <w:b/>
          <w:bCs/>
          <w:i w:val="0"/>
          <w:iCs w:val="0"/>
          <w:color w:val="auto"/>
          <w:sz w:val="22"/>
          <w:szCs w:val="22"/>
        </w:rPr>
        <w:fldChar w:fldCharType="separate"/>
      </w:r>
      <w:r w:rsidR="000A4091">
        <w:rPr>
          <w:b/>
          <w:bCs/>
          <w:i w:val="0"/>
          <w:iCs w:val="0"/>
          <w:noProof/>
          <w:color w:val="auto"/>
          <w:sz w:val="22"/>
          <w:szCs w:val="22"/>
        </w:rPr>
        <w:t>1</w:t>
      </w:r>
      <w:r w:rsidRPr="00DD764B">
        <w:rPr>
          <w:b/>
          <w:bCs/>
          <w:i w:val="0"/>
          <w:iCs w:val="0"/>
          <w:color w:val="auto"/>
          <w:sz w:val="22"/>
          <w:szCs w:val="22"/>
        </w:rPr>
        <w:fldChar w:fldCharType="end"/>
      </w:r>
      <w:r w:rsidRPr="00DD764B">
        <w:rPr>
          <w:b/>
          <w:bCs/>
          <w:i w:val="0"/>
          <w:iCs w:val="0"/>
          <w:color w:val="auto"/>
          <w:sz w:val="22"/>
          <w:szCs w:val="22"/>
        </w:rPr>
        <w:t xml:space="preserve"> </w:t>
      </w:r>
      <w:r w:rsidR="00E316F9" w:rsidRPr="00DD764B">
        <w:rPr>
          <w:b/>
          <w:bCs/>
          <w:i w:val="0"/>
          <w:iCs w:val="0"/>
          <w:color w:val="auto"/>
          <w:sz w:val="22"/>
          <w:szCs w:val="22"/>
        </w:rPr>
        <w:t xml:space="preserve">lentelė. </w:t>
      </w:r>
      <w:r w:rsidR="00E316F9" w:rsidRPr="00DD764B">
        <w:rPr>
          <w:i w:val="0"/>
          <w:iCs w:val="0"/>
          <w:color w:val="auto"/>
          <w:sz w:val="22"/>
          <w:szCs w:val="22"/>
        </w:rPr>
        <w:t>Pažangos priemonės projektai</w:t>
      </w:r>
    </w:p>
    <w:tbl>
      <w:tblPr>
        <w:tblStyle w:val="TableGrid"/>
        <w:tblW w:w="0" w:type="auto"/>
        <w:tblLook w:val="04A0" w:firstRow="1" w:lastRow="0" w:firstColumn="1" w:lastColumn="0" w:noHBand="0" w:noVBand="1"/>
      </w:tblPr>
      <w:tblGrid>
        <w:gridCol w:w="2689"/>
        <w:gridCol w:w="6918"/>
      </w:tblGrid>
      <w:tr w:rsidR="001764A1" w:rsidRPr="007A4186" w14:paraId="239B8492" w14:textId="77777777" w:rsidTr="0063012C">
        <w:tc>
          <w:tcPr>
            <w:tcW w:w="9607" w:type="dxa"/>
            <w:gridSpan w:val="2"/>
            <w:shd w:val="clear" w:color="auto" w:fill="D0CECE" w:themeFill="background2" w:themeFillShade="E6"/>
            <w:vAlign w:val="center"/>
          </w:tcPr>
          <w:p w14:paraId="11C73DD3" w14:textId="292B97B9" w:rsidR="001764A1" w:rsidRPr="00750BF2" w:rsidRDefault="001764A1" w:rsidP="001764A1">
            <w:pPr>
              <w:spacing w:line="276" w:lineRule="auto"/>
              <w:rPr>
                <w:b/>
                <w:bCs/>
                <w:sz w:val="22"/>
                <w:szCs w:val="18"/>
              </w:rPr>
            </w:pPr>
            <w:r w:rsidRPr="00750BF2">
              <w:rPr>
                <w:b/>
                <w:bCs/>
                <w:sz w:val="22"/>
                <w:szCs w:val="18"/>
              </w:rPr>
              <w:t>Klaipėdos miesto savivaldybė</w:t>
            </w:r>
          </w:p>
        </w:tc>
      </w:tr>
      <w:tr w:rsidR="007C3040" w:rsidRPr="007A4186" w14:paraId="1A17DA45" w14:textId="77777777" w:rsidTr="0063012C">
        <w:tc>
          <w:tcPr>
            <w:tcW w:w="2689" w:type="dxa"/>
            <w:shd w:val="clear" w:color="auto" w:fill="F2F2F2" w:themeFill="background1" w:themeFillShade="F2"/>
          </w:tcPr>
          <w:p w14:paraId="0FCE4BE4" w14:textId="77777777" w:rsidR="007C3040" w:rsidRPr="00750BF2" w:rsidRDefault="007C3040" w:rsidP="001110F2">
            <w:pPr>
              <w:spacing w:line="276" w:lineRule="auto"/>
              <w:jc w:val="both"/>
              <w:rPr>
                <w:b/>
                <w:bCs/>
                <w:sz w:val="22"/>
                <w:szCs w:val="18"/>
              </w:rPr>
            </w:pPr>
            <w:bookmarkStart w:id="1" w:name="_Hlk155623990"/>
            <w:r w:rsidRPr="00750BF2">
              <w:rPr>
                <w:b/>
                <w:bCs/>
                <w:sz w:val="22"/>
                <w:szCs w:val="18"/>
              </w:rPr>
              <w:t>Projektas</w:t>
            </w:r>
          </w:p>
        </w:tc>
        <w:tc>
          <w:tcPr>
            <w:tcW w:w="6918" w:type="dxa"/>
            <w:shd w:val="clear" w:color="auto" w:fill="F2F2F2" w:themeFill="background1" w:themeFillShade="F2"/>
          </w:tcPr>
          <w:p w14:paraId="78421476" w14:textId="77777777" w:rsidR="007C3040" w:rsidRPr="00750BF2" w:rsidRDefault="007C3040" w:rsidP="001110F2">
            <w:pPr>
              <w:spacing w:line="276" w:lineRule="auto"/>
              <w:jc w:val="both"/>
              <w:rPr>
                <w:b/>
                <w:bCs/>
                <w:sz w:val="22"/>
                <w:szCs w:val="18"/>
              </w:rPr>
            </w:pPr>
            <w:r w:rsidRPr="00750BF2">
              <w:rPr>
                <w:b/>
                <w:bCs/>
                <w:sz w:val="22"/>
                <w:szCs w:val="18"/>
              </w:rPr>
              <w:t>Projekto veiklos ir pagrindimas</w:t>
            </w:r>
          </w:p>
        </w:tc>
      </w:tr>
      <w:bookmarkEnd w:id="1"/>
      <w:tr w:rsidR="007C3040" w14:paraId="7AB557D5" w14:textId="77777777" w:rsidTr="001764A1">
        <w:tc>
          <w:tcPr>
            <w:tcW w:w="2689" w:type="dxa"/>
          </w:tcPr>
          <w:p w14:paraId="201D5605" w14:textId="24E104AB" w:rsidR="007C3040" w:rsidRPr="0063012C" w:rsidRDefault="00750BF2" w:rsidP="001110F2">
            <w:pPr>
              <w:spacing w:line="276" w:lineRule="auto"/>
              <w:rPr>
                <w:b/>
                <w:bCs/>
                <w:sz w:val="22"/>
                <w:szCs w:val="18"/>
              </w:rPr>
            </w:pPr>
            <w:r w:rsidRPr="0063012C">
              <w:rPr>
                <w:b/>
                <w:bCs/>
                <w:sz w:val="22"/>
                <w:szCs w:val="18"/>
              </w:rPr>
              <w:t>1. Sveikatos centro teikiamų sveikatos priežiūros paslaugų prieinamumo ir kokybės gerinimas</w:t>
            </w:r>
          </w:p>
        </w:tc>
        <w:tc>
          <w:tcPr>
            <w:tcW w:w="6918" w:type="dxa"/>
          </w:tcPr>
          <w:p w14:paraId="1702637E" w14:textId="77777777" w:rsidR="0049106F" w:rsidRDefault="0063012C" w:rsidP="00456A4C">
            <w:pPr>
              <w:spacing w:line="276" w:lineRule="auto"/>
              <w:jc w:val="both"/>
              <w:rPr>
                <w:sz w:val="22"/>
                <w:szCs w:val="18"/>
                <w:lang w:eastAsia="lt-LT"/>
              </w:rPr>
            </w:pPr>
            <w:r w:rsidRPr="0063012C">
              <w:rPr>
                <w:sz w:val="22"/>
                <w:szCs w:val="18"/>
                <w:lang w:eastAsia="lt-LT"/>
              </w:rPr>
              <w:t>Siekiant padidinti pirminės sveikatos priežiūros paslaugų kokybę ir prieinamumą, planuojama racionaliai efektyvesniam naudojimui pritaikyti poliklinikos patalpas (Taikos pr. 76, Klaipėda).</w:t>
            </w:r>
            <w:r w:rsidR="00456A4C">
              <w:rPr>
                <w:sz w:val="22"/>
                <w:szCs w:val="18"/>
                <w:lang w:eastAsia="lt-LT"/>
              </w:rPr>
              <w:t xml:space="preserve"> Paslaugas poliklinikoje, 2023 metų duomenimis, gauna 35,834 tūkst. gyventojų.</w:t>
            </w:r>
            <w:r w:rsidR="0049106F">
              <w:rPr>
                <w:sz w:val="22"/>
                <w:szCs w:val="18"/>
                <w:lang w:eastAsia="lt-LT"/>
              </w:rPr>
              <w:t xml:space="preserve"> </w:t>
            </w:r>
          </w:p>
          <w:p w14:paraId="2079C633" w14:textId="2FD27E98" w:rsidR="004D7242" w:rsidRPr="00750BF2" w:rsidRDefault="0049106F" w:rsidP="0049106F">
            <w:pPr>
              <w:spacing w:line="276" w:lineRule="auto"/>
              <w:jc w:val="both"/>
              <w:rPr>
                <w:sz w:val="22"/>
                <w:szCs w:val="18"/>
                <w:lang w:eastAsia="lt-LT"/>
              </w:rPr>
            </w:pPr>
            <w:r w:rsidRPr="0049106F">
              <w:rPr>
                <w:sz w:val="22"/>
                <w:szCs w:val="18"/>
                <w:lang w:eastAsia="lt-LT"/>
              </w:rPr>
              <w:t xml:space="preserve">VšĮ Klaipėdos miesto poliklinika (statyta 1979 m.) įsikūrusi patogioje miesto vietoje. </w:t>
            </w:r>
            <w:r>
              <w:rPr>
                <w:sz w:val="22"/>
                <w:szCs w:val="18"/>
                <w:lang w:eastAsia="lt-LT"/>
              </w:rPr>
              <w:t>S</w:t>
            </w:r>
            <w:r w:rsidRPr="0049106F">
              <w:rPr>
                <w:sz w:val="22"/>
                <w:szCs w:val="18"/>
                <w:lang w:eastAsia="lt-LT"/>
              </w:rPr>
              <w:t xml:space="preserve">avivaldybė ieškojo patrauklios vietos naujo poliklinikos pastato statybai toje pačioje miesto dalyje, tačiau pakankamo (tinkamo) ploto, tinkamų sklypų </w:t>
            </w:r>
            <w:r>
              <w:rPr>
                <w:sz w:val="22"/>
                <w:szCs w:val="18"/>
                <w:lang w:eastAsia="lt-LT"/>
              </w:rPr>
              <w:t>neturi</w:t>
            </w:r>
            <w:r w:rsidRPr="0049106F">
              <w:rPr>
                <w:sz w:val="22"/>
                <w:szCs w:val="18"/>
                <w:lang w:eastAsia="lt-LT"/>
              </w:rPr>
              <w:t>. Įvertinus pastato būklę, atlikus statybos darbų poreikio skaičiavimus, nuspręsta modernizuoti esamą poliklinikos pastatą.</w:t>
            </w:r>
          </w:p>
        </w:tc>
      </w:tr>
      <w:tr w:rsidR="00750BF2" w14:paraId="5691ADB5" w14:textId="77777777" w:rsidTr="001764A1">
        <w:tc>
          <w:tcPr>
            <w:tcW w:w="2689" w:type="dxa"/>
          </w:tcPr>
          <w:p w14:paraId="4758F44E" w14:textId="7A6E45CB" w:rsidR="00750BF2" w:rsidRPr="0063012C" w:rsidRDefault="00750BF2" w:rsidP="001110F2">
            <w:pPr>
              <w:spacing w:line="276" w:lineRule="auto"/>
              <w:rPr>
                <w:b/>
                <w:bCs/>
                <w:sz w:val="22"/>
                <w:szCs w:val="18"/>
              </w:rPr>
            </w:pPr>
            <w:r w:rsidRPr="0063012C">
              <w:rPr>
                <w:b/>
                <w:bCs/>
                <w:sz w:val="22"/>
                <w:szCs w:val="18"/>
              </w:rPr>
              <w:t>2. Ugdymo paslaugų prieinamumo didinimas, modernizuojant Klaipėdos lopšelio-darželio „Traukinukas“  „Boružėlės“ skyriaus pastatą</w:t>
            </w:r>
          </w:p>
        </w:tc>
        <w:tc>
          <w:tcPr>
            <w:tcW w:w="6918" w:type="dxa"/>
          </w:tcPr>
          <w:p w14:paraId="517853AE" w14:textId="77777777" w:rsidR="00750BF2" w:rsidRDefault="00E22E2A" w:rsidP="00E22E2A">
            <w:pPr>
              <w:spacing w:line="276" w:lineRule="auto"/>
              <w:jc w:val="both"/>
              <w:rPr>
                <w:sz w:val="22"/>
                <w:szCs w:val="18"/>
                <w:lang w:eastAsia="lt-LT"/>
              </w:rPr>
            </w:pPr>
            <w:r>
              <w:rPr>
                <w:sz w:val="22"/>
                <w:szCs w:val="18"/>
                <w:lang w:eastAsia="lt-LT"/>
              </w:rPr>
              <w:t xml:space="preserve">Planuojamas </w:t>
            </w:r>
            <w:r w:rsidR="0063012C" w:rsidRPr="0063012C">
              <w:rPr>
                <w:sz w:val="22"/>
                <w:szCs w:val="18"/>
                <w:lang w:eastAsia="lt-LT"/>
              </w:rPr>
              <w:t>Klaipėdos lopšelio-darželio „Traukinukas“ „Boružėlės“ skyriaus (Danės g. 29, Klaipėda) modernizavimas papildomai įrengiant 80 ugdymo vietų.</w:t>
            </w:r>
            <w:r>
              <w:rPr>
                <w:sz w:val="22"/>
                <w:szCs w:val="18"/>
                <w:lang w:eastAsia="lt-LT"/>
              </w:rPr>
              <w:t xml:space="preserve"> Įgyvendinant projektą siekiama sudaryti sąlygas </w:t>
            </w:r>
            <w:r w:rsidRPr="00E22E2A">
              <w:rPr>
                <w:sz w:val="22"/>
                <w:szCs w:val="18"/>
                <w:lang w:eastAsia="lt-LT"/>
              </w:rPr>
              <w:t>teikti aukštesnės kokybės ikimokyklinio ugdymo paslaugas centrinėje Klaipėdos miesto dalyje</w:t>
            </w:r>
            <w:r>
              <w:rPr>
                <w:sz w:val="22"/>
                <w:szCs w:val="18"/>
                <w:lang w:eastAsia="lt-LT"/>
              </w:rPr>
              <w:t xml:space="preserve">. Vietų skaičius ikimokyklinio ugdymo įstaigoje padidės nuo 75 iki 155. </w:t>
            </w:r>
          </w:p>
          <w:p w14:paraId="3AA13C43" w14:textId="77E32516" w:rsidR="0049106F" w:rsidRPr="00750BF2" w:rsidRDefault="0049106F" w:rsidP="0049106F">
            <w:pPr>
              <w:spacing w:line="276" w:lineRule="auto"/>
              <w:jc w:val="both"/>
              <w:rPr>
                <w:sz w:val="22"/>
                <w:szCs w:val="18"/>
                <w:lang w:eastAsia="lt-LT"/>
              </w:rPr>
            </w:pPr>
            <w:r w:rsidRPr="0049106F">
              <w:rPr>
                <w:iCs/>
                <w:sz w:val="22"/>
                <w:szCs w:val="24"/>
                <w:lang w:eastAsia="lt-LT"/>
              </w:rPr>
              <w:t>Savivaldybė centrinėje miesto dalyje neturi sklypų, tinkamų statyti naują ikimokyklinio ugdymo įstaigą. Klaipėdos lopšelio darželio „Traukinukas“ filialo „Boružėlė“ pastatas yra centrinėje miesto dalyje, tačiau nebeatitinka keliamų higienos normų, jį būtina modernizuoti, be to yra galimybė padidinti ikimokyklinio ugdymo vietų skaičių, kas aktualu centrinės miesto dalies gyventojams.</w:t>
            </w:r>
          </w:p>
        </w:tc>
      </w:tr>
      <w:tr w:rsidR="00750BF2" w14:paraId="4F2F7EB3" w14:textId="77777777" w:rsidTr="001764A1">
        <w:tc>
          <w:tcPr>
            <w:tcW w:w="2689" w:type="dxa"/>
          </w:tcPr>
          <w:p w14:paraId="4EBBE303" w14:textId="68D55113" w:rsidR="00750BF2" w:rsidRPr="0063012C" w:rsidRDefault="00750BF2" w:rsidP="001110F2">
            <w:pPr>
              <w:spacing w:line="276" w:lineRule="auto"/>
              <w:rPr>
                <w:b/>
                <w:bCs/>
                <w:sz w:val="22"/>
                <w:szCs w:val="18"/>
              </w:rPr>
            </w:pPr>
            <w:r w:rsidRPr="0063012C">
              <w:rPr>
                <w:b/>
                <w:bCs/>
                <w:sz w:val="22"/>
                <w:szCs w:val="18"/>
              </w:rPr>
              <w:t>3. Danės teritorijos prieigų atgaivinimas Šiauriniame rage</w:t>
            </w:r>
          </w:p>
        </w:tc>
        <w:tc>
          <w:tcPr>
            <w:tcW w:w="6918" w:type="dxa"/>
          </w:tcPr>
          <w:p w14:paraId="56887523" w14:textId="77777777" w:rsidR="00750BF2" w:rsidRDefault="00456A4C" w:rsidP="001110F2">
            <w:pPr>
              <w:spacing w:line="276" w:lineRule="auto"/>
              <w:jc w:val="both"/>
              <w:rPr>
                <w:sz w:val="22"/>
                <w:szCs w:val="18"/>
                <w:lang w:eastAsia="lt-LT"/>
              </w:rPr>
            </w:pPr>
            <w:r>
              <w:rPr>
                <w:sz w:val="22"/>
                <w:szCs w:val="18"/>
                <w:lang w:eastAsia="lt-LT"/>
              </w:rPr>
              <w:t xml:space="preserve">Numatomas </w:t>
            </w:r>
            <w:r w:rsidR="0063012C" w:rsidRPr="0063012C">
              <w:rPr>
                <w:sz w:val="22"/>
                <w:szCs w:val="18"/>
                <w:lang w:eastAsia="lt-LT"/>
              </w:rPr>
              <w:t>Šiaurinio rago skvero teritorijos tarp Naujosios Uosto g. ir Kuršių marių atgaivinimas, pritaikymas gyventojų laisvalaikiui. Teritorijoje naikinama esama gatvė, įrengiama erdvė miesto viešiesiems renginiams, tvarkomos dangos, įrengiami, tvarkomi esami pėsčiųjų ir dviračių takai, želdynai, mažoji architektūra, apšvietimas.</w:t>
            </w:r>
          </w:p>
          <w:p w14:paraId="1900CFC5" w14:textId="65CCB95C" w:rsidR="0049106F" w:rsidRPr="00750BF2" w:rsidRDefault="0049106F" w:rsidP="001110F2">
            <w:pPr>
              <w:spacing w:line="276" w:lineRule="auto"/>
              <w:jc w:val="both"/>
              <w:rPr>
                <w:sz w:val="22"/>
                <w:szCs w:val="18"/>
                <w:lang w:eastAsia="lt-LT"/>
              </w:rPr>
            </w:pPr>
            <w:r w:rsidRPr="0049106F">
              <w:rPr>
                <w:sz w:val="22"/>
                <w:szCs w:val="18"/>
                <w:lang w:eastAsia="lt-LT"/>
              </w:rPr>
              <w:t>2022 m. buvo parengta Danės upės krantinės – Šiaurės rago skvero architektūrinė-urbanistinė galimybių studija, kurią inicijavo UAB „</w:t>
            </w:r>
            <w:proofErr w:type="spellStart"/>
            <w:r w:rsidRPr="0049106F">
              <w:rPr>
                <w:sz w:val="22"/>
                <w:szCs w:val="18"/>
                <w:lang w:eastAsia="lt-LT"/>
              </w:rPr>
              <w:t>Memelio</w:t>
            </w:r>
            <w:proofErr w:type="spellEnd"/>
            <w:r w:rsidRPr="0049106F">
              <w:rPr>
                <w:sz w:val="22"/>
                <w:szCs w:val="18"/>
                <w:lang w:eastAsia="lt-LT"/>
              </w:rPr>
              <w:t xml:space="preserve"> miestas“. Rengiant studiją buvo nagrinėjama Danės krantinės</w:t>
            </w:r>
            <w:r>
              <w:rPr>
                <w:sz w:val="22"/>
                <w:szCs w:val="18"/>
                <w:lang w:eastAsia="lt-LT"/>
              </w:rPr>
              <w:t>,</w:t>
            </w:r>
            <w:r w:rsidRPr="0049106F">
              <w:rPr>
                <w:sz w:val="22"/>
                <w:szCs w:val="18"/>
                <w:lang w:eastAsia="lt-LT"/>
              </w:rPr>
              <w:t xml:space="preserve"> tarp Pilies tilto ir Šiaurės rago (Senosios perkėlos)</w:t>
            </w:r>
            <w:r>
              <w:rPr>
                <w:sz w:val="22"/>
                <w:szCs w:val="18"/>
                <w:lang w:eastAsia="lt-LT"/>
              </w:rPr>
              <w:t>,</w:t>
            </w:r>
            <w:r w:rsidRPr="0049106F">
              <w:rPr>
                <w:sz w:val="22"/>
                <w:szCs w:val="18"/>
                <w:lang w:eastAsia="lt-LT"/>
              </w:rPr>
              <w:t xml:space="preserve"> galimos pertvarkos kryptys vertinant </w:t>
            </w:r>
            <w:r w:rsidRPr="0049106F">
              <w:rPr>
                <w:sz w:val="22"/>
                <w:szCs w:val="18"/>
                <w:lang w:eastAsia="lt-LT"/>
              </w:rPr>
              <w:lastRenderedPageBreak/>
              <w:t>besikeičiančią „</w:t>
            </w:r>
            <w:proofErr w:type="spellStart"/>
            <w:r w:rsidRPr="0049106F">
              <w:rPr>
                <w:sz w:val="22"/>
                <w:szCs w:val="18"/>
                <w:lang w:eastAsia="lt-LT"/>
              </w:rPr>
              <w:t>Memelio</w:t>
            </w:r>
            <w:proofErr w:type="spellEnd"/>
            <w:r w:rsidRPr="0049106F">
              <w:rPr>
                <w:sz w:val="22"/>
                <w:szCs w:val="18"/>
                <w:lang w:eastAsia="lt-LT"/>
              </w:rPr>
              <w:t xml:space="preserve"> miesto“ teritoriją ir gretimybes. Galimybių studijos rengimo proceso metu buvo aktyviai konsultuojamasi ir diskutuojama su išoriniais ekspertais, suinteresuotomis institucijomis ir projekto partneriais, įv</w:t>
            </w:r>
            <w:r>
              <w:rPr>
                <w:sz w:val="22"/>
                <w:szCs w:val="18"/>
                <w:lang w:eastAsia="lt-LT"/>
              </w:rPr>
              <w:t xml:space="preserve">airiomis visuomenės grupėmis, </w:t>
            </w:r>
            <w:r w:rsidRPr="0049106F">
              <w:rPr>
                <w:sz w:val="22"/>
                <w:szCs w:val="18"/>
                <w:lang w:eastAsia="lt-LT"/>
              </w:rPr>
              <w:t>bendruomenių atstovais. Vyko keli vieši pristatymai, kūrybinės sesijos, kurių metu siekta kompleksiškai suvokti Danės krantinės atkarpos Šiauriniame rage sutvarkymo problematiką, skirtingus interesus, lūkesčius bei poreikius, funkcinės programos ir viešosios erdvės formavimo principus ir gaires.</w:t>
            </w:r>
          </w:p>
        </w:tc>
      </w:tr>
      <w:tr w:rsidR="00750BF2" w14:paraId="756236E2" w14:textId="77777777" w:rsidTr="001764A1">
        <w:tc>
          <w:tcPr>
            <w:tcW w:w="2689" w:type="dxa"/>
          </w:tcPr>
          <w:p w14:paraId="6A8C99B2" w14:textId="246E992D" w:rsidR="00750BF2" w:rsidRPr="0063012C" w:rsidRDefault="00750BF2" w:rsidP="001110F2">
            <w:pPr>
              <w:spacing w:line="276" w:lineRule="auto"/>
              <w:rPr>
                <w:b/>
                <w:bCs/>
                <w:sz w:val="22"/>
                <w:szCs w:val="18"/>
              </w:rPr>
            </w:pPr>
            <w:r w:rsidRPr="0063012C">
              <w:rPr>
                <w:b/>
                <w:bCs/>
                <w:sz w:val="22"/>
                <w:szCs w:val="18"/>
              </w:rPr>
              <w:lastRenderedPageBreak/>
              <w:t>4. Urbanizuotos teritorijos  sutvarkymas, įrengiant parką, palei Šilutės plentą</w:t>
            </w:r>
          </w:p>
        </w:tc>
        <w:tc>
          <w:tcPr>
            <w:tcW w:w="6918" w:type="dxa"/>
          </w:tcPr>
          <w:p w14:paraId="0196F4F5" w14:textId="77777777" w:rsidR="00750BF2" w:rsidRDefault="00456A4C" w:rsidP="00456A4C">
            <w:pPr>
              <w:spacing w:line="276" w:lineRule="auto"/>
              <w:jc w:val="both"/>
              <w:rPr>
                <w:sz w:val="22"/>
                <w:szCs w:val="18"/>
                <w:lang w:eastAsia="lt-LT"/>
              </w:rPr>
            </w:pPr>
            <w:r>
              <w:rPr>
                <w:sz w:val="22"/>
                <w:szCs w:val="18"/>
                <w:lang w:eastAsia="lt-LT"/>
              </w:rPr>
              <w:t>Planuojamas u</w:t>
            </w:r>
            <w:r w:rsidR="0063012C" w:rsidRPr="0063012C">
              <w:rPr>
                <w:sz w:val="22"/>
                <w:szCs w:val="18"/>
                <w:lang w:eastAsia="lt-LT"/>
              </w:rPr>
              <w:t>rbanizuotos Klaipėdos miesto teritorijos, esančios Šilutės pl. (t</w:t>
            </w:r>
            <w:r>
              <w:rPr>
                <w:sz w:val="22"/>
                <w:szCs w:val="18"/>
                <w:lang w:eastAsia="lt-LT"/>
              </w:rPr>
              <w:t xml:space="preserve">ies </w:t>
            </w:r>
            <w:proofErr w:type="spellStart"/>
            <w:r>
              <w:rPr>
                <w:sz w:val="22"/>
                <w:szCs w:val="18"/>
                <w:lang w:eastAsia="lt-LT"/>
              </w:rPr>
              <w:t>Budelkiemio</w:t>
            </w:r>
            <w:proofErr w:type="spellEnd"/>
            <w:r>
              <w:rPr>
                <w:sz w:val="22"/>
                <w:szCs w:val="18"/>
                <w:lang w:eastAsia="lt-LT"/>
              </w:rPr>
              <w:t xml:space="preserve"> ir Bandužių g.), sutvarkymas –</w:t>
            </w:r>
            <w:r w:rsidR="0063012C" w:rsidRPr="0063012C">
              <w:rPr>
                <w:sz w:val="22"/>
                <w:szCs w:val="18"/>
                <w:lang w:eastAsia="lt-LT"/>
              </w:rPr>
              <w:t xml:space="preserve"> </w:t>
            </w:r>
            <w:r>
              <w:rPr>
                <w:sz w:val="22"/>
                <w:szCs w:val="18"/>
                <w:lang w:eastAsia="lt-LT"/>
              </w:rPr>
              <w:t xml:space="preserve">įrengiama </w:t>
            </w:r>
            <w:r w:rsidR="0063012C" w:rsidRPr="0063012C">
              <w:rPr>
                <w:sz w:val="22"/>
                <w:szCs w:val="18"/>
                <w:lang w:eastAsia="lt-LT"/>
              </w:rPr>
              <w:t>laisvalaikio leidimo erdv</w:t>
            </w:r>
            <w:r>
              <w:rPr>
                <w:sz w:val="22"/>
                <w:szCs w:val="18"/>
                <w:lang w:eastAsia="lt-LT"/>
              </w:rPr>
              <w:t>ė</w:t>
            </w:r>
            <w:r w:rsidR="0063012C" w:rsidRPr="0063012C">
              <w:rPr>
                <w:sz w:val="22"/>
                <w:szCs w:val="18"/>
                <w:lang w:eastAsia="lt-LT"/>
              </w:rPr>
              <w:t xml:space="preserve"> gyventojams. Planuojama sutvarkyti želdyną, įrengti takus pėstiesiems ir dviratininkams, mažosios kraštovaizdžio architektūros statinius, suoliukus, </w:t>
            </w:r>
            <w:proofErr w:type="spellStart"/>
            <w:r w:rsidR="0063012C" w:rsidRPr="0063012C">
              <w:rPr>
                <w:sz w:val="22"/>
                <w:szCs w:val="18"/>
                <w:lang w:eastAsia="lt-LT"/>
              </w:rPr>
              <w:t>paspirtukų</w:t>
            </w:r>
            <w:proofErr w:type="spellEnd"/>
            <w:r w:rsidR="0063012C" w:rsidRPr="0063012C">
              <w:rPr>
                <w:sz w:val="22"/>
                <w:szCs w:val="18"/>
                <w:lang w:eastAsia="lt-LT"/>
              </w:rPr>
              <w:t xml:space="preserve"> ir dviračių stovus, šiukšliadėžes, vandens fontanėlius, informacinius stendus, pastatyti sporto aikštelių ir žaidimų įrenginius, apšvietimą ir pan.  </w:t>
            </w:r>
          </w:p>
          <w:p w14:paraId="2EF12D43" w14:textId="5594AF8C" w:rsidR="0049106F" w:rsidRPr="00750BF2" w:rsidRDefault="0049106F" w:rsidP="00456A4C">
            <w:pPr>
              <w:spacing w:line="276" w:lineRule="auto"/>
              <w:jc w:val="both"/>
              <w:rPr>
                <w:sz w:val="22"/>
                <w:szCs w:val="18"/>
                <w:lang w:eastAsia="lt-LT"/>
              </w:rPr>
            </w:pPr>
            <w:r w:rsidRPr="0049106F">
              <w:rPr>
                <w:sz w:val="22"/>
                <w:szCs w:val="18"/>
                <w:lang w:eastAsia="lt-LT"/>
              </w:rPr>
              <w:t>2022 m. vyko parko prie Šilutės pl. sutvarkymo idėjos (koncepcijos) konkursas, buvo apsvarstyti alternatyvūs teritorijos sutvarkymo variantai su specialistais, visuomene ir pasirinktas tinkamiausias variantas. Šiuo metu baigiamas rengti techninis projektas taip pat apsvarstytas su visuomene, atsižvelgta į gautas pastabas.</w:t>
            </w:r>
          </w:p>
        </w:tc>
      </w:tr>
      <w:tr w:rsidR="00750BF2" w14:paraId="12F99299" w14:textId="77777777" w:rsidTr="001764A1">
        <w:tc>
          <w:tcPr>
            <w:tcW w:w="2689" w:type="dxa"/>
          </w:tcPr>
          <w:p w14:paraId="63D7F8C2" w14:textId="230E01BF" w:rsidR="00750BF2" w:rsidRPr="0063012C" w:rsidRDefault="00750BF2" w:rsidP="001110F2">
            <w:pPr>
              <w:spacing w:line="276" w:lineRule="auto"/>
              <w:rPr>
                <w:b/>
                <w:bCs/>
                <w:sz w:val="22"/>
                <w:szCs w:val="18"/>
              </w:rPr>
            </w:pPr>
            <w:r w:rsidRPr="0063012C">
              <w:rPr>
                <w:b/>
                <w:bCs/>
                <w:sz w:val="22"/>
                <w:szCs w:val="18"/>
              </w:rPr>
              <w:t>5. Turgaus aikštės su prieigomis atgaivinimas</w:t>
            </w:r>
          </w:p>
        </w:tc>
        <w:tc>
          <w:tcPr>
            <w:tcW w:w="6918" w:type="dxa"/>
          </w:tcPr>
          <w:p w14:paraId="01362CE2" w14:textId="77777777" w:rsidR="00750BF2" w:rsidRDefault="00456A4C" w:rsidP="00456A4C">
            <w:pPr>
              <w:spacing w:line="276" w:lineRule="auto"/>
              <w:jc w:val="both"/>
              <w:rPr>
                <w:sz w:val="22"/>
                <w:szCs w:val="18"/>
                <w:lang w:eastAsia="lt-LT"/>
              </w:rPr>
            </w:pPr>
            <w:r>
              <w:rPr>
                <w:sz w:val="22"/>
                <w:szCs w:val="18"/>
                <w:lang w:eastAsia="lt-LT"/>
              </w:rPr>
              <w:t>Planuojama i</w:t>
            </w:r>
            <w:r w:rsidR="0063012C" w:rsidRPr="0063012C">
              <w:rPr>
                <w:sz w:val="22"/>
                <w:szCs w:val="18"/>
                <w:lang w:eastAsia="lt-LT"/>
              </w:rPr>
              <w:t>škel</w:t>
            </w:r>
            <w:r>
              <w:rPr>
                <w:sz w:val="22"/>
                <w:szCs w:val="18"/>
                <w:lang w:eastAsia="lt-LT"/>
              </w:rPr>
              <w:t>ti</w:t>
            </w:r>
            <w:r w:rsidR="0063012C" w:rsidRPr="0063012C">
              <w:rPr>
                <w:sz w:val="22"/>
                <w:szCs w:val="18"/>
                <w:lang w:eastAsia="lt-LT"/>
              </w:rPr>
              <w:t xml:space="preserve"> prekybos viet</w:t>
            </w:r>
            <w:r>
              <w:rPr>
                <w:sz w:val="22"/>
                <w:szCs w:val="18"/>
                <w:lang w:eastAsia="lt-LT"/>
              </w:rPr>
              <w:t>a</w:t>
            </w:r>
            <w:r w:rsidR="0063012C" w:rsidRPr="0063012C">
              <w:rPr>
                <w:sz w:val="22"/>
                <w:szCs w:val="18"/>
                <w:lang w:eastAsia="lt-LT"/>
              </w:rPr>
              <w:t>s ir vietoje esamų automobilių statymo vietų įreng</w:t>
            </w:r>
            <w:r>
              <w:rPr>
                <w:sz w:val="22"/>
                <w:szCs w:val="18"/>
                <w:lang w:eastAsia="lt-LT"/>
              </w:rPr>
              <w:t>ti</w:t>
            </w:r>
            <w:r w:rsidR="0063012C" w:rsidRPr="0063012C">
              <w:rPr>
                <w:sz w:val="22"/>
                <w:szCs w:val="18"/>
                <w:lang w:eastAsia="lt-LT"/>
              </w:rPr>
              <w:t xml:space="preserve"> vieš</w:t>
            </w:r>
            <w:r>
              <w:rPr>
                <w:sz w:val="22"/>
                <w:szCs w:val="18"/>
                <w:lang w:eastAsia="lt-LT"/>
              </w:rPr>
              <w:t>ą</w:t>
            </w:r>
            <w:r w:rsidR="0063012C" w:rsidRPr="0063012C">
              <w:rPr>
                <w:sz w:val="22"/>
                <w:szCs w:val="18"/>
                <w:lang w:eastAsia="lt-LT"/>
              </w:rPr>
              <w:t xml:space="preserve"> erdv</w:t>
            </w:r>
            <w:r>
              <w:rPr>
                <w:sz w:val="22"/>
                <w:szCs w:val="18"/>
                <w:lang w:eastAsia="lt-LT"/>
              </w:rPr>
              <w:t>ę</w:t>
            </w:r>
            <w:r w:rsidR="0063012C" w:rsidRPr="0063012C">
              <w:rPr>
                <w:sz w:val="22"/>
                <w:szCs w:val="18"/>
                <w:lang w:eastAsia="lt-LT"/>
              </w:rPr>
              <w:t xml:space="preserve"> – Senojo turgaus aikštė centrinėje miesto dalyje. Pakeičiama aikštės danga, įrengiami, atnaujinami pėsčiųjų ir dviračių takai, apšvietimas, įrengiami mažosios architektūros elementai,  želdynai.</w:t>
            </w:r>
          </w:p>
          <w:p w14:paraId="6F6F115A" w14:textId="36F1DB1A" w:rsidR="0049106F" w:rsidRPr="00750BF2" w:rsidRDefault="0049106F" w:rsidP="0049106F">
            <w:pPr>
              <w:spacing w:line="276" w:lineRule="auto"/>
              <w:jc w:val="both"/>
              <w:rPr>
                <w:sz w:val="22"/>
                <w:szCs w:val="18"/>
                <w:lang w:eastAsia="lt-LT"/>
              </w:rPr>
            </w:pPr>
            <w:r w:rsidRPr="0049106F">
              <w:rPr>
                <w:sz w:val="22"/>
                <w:szCs w:val="18"/>
                <w:lang w:eastAsia="lt-LT"/>
              </w:rPr>
              <w:t xml:space="preserve">2014 m. buvo parengta Klaipėdos senojo turgaus kvartalo vizija, kurioje išnagrinėtos galimos teritorijos sutvarkymo, panaudojimo alternatyvos, kurios buvo apsvarstytos su visuomene, ir priimti optimalūs sprendimai teritorijos sutvarkymui. Šiuo metu baigiamas rengti techninis projektas, kurio sprendiniai parengti, atsižvelgiant į parengtą viziją, </w:t>
            </w:r>
            <w:r>
              <w:rPr>
                <w:sz w:val="22"/>
                <w:szCs w:val="18"/>
                <w:lang w:eastAsia="lt-LT"/>
              </w:rPr>
              <w:t>atliktos viešinimo procedūros</w:t>
            </w:r>
            <w:r w:rsidRPr="0049106F">
              <w:rPr>
                <w:sz w:val="22"/>
                <w:szCs w:val="18"/>
                <w:lang w:eastAsia="lt-LT"/>
              </w:rPr>
              <w:t>, atsižvelgta į gautus pasiūlymus.</w:t>
            </w:r>
          </w:p>
        </w:tc>
      </w:tr>
      <w:tr w:rsidR="00750BF2" w14:paraId="75D1996B" w14:textId="77777777" w:rsidTr="001764A1">
        <w:tc>
          <w:tcPr>
            <w:tcW w:w="2689" w:type="dxa"/>
          </w:tcPr>
          <w:p w14:paraId="6780A09C" w14:textId="27C9949E" w:rsidR="00750BF2" w:rsidRPr="0063012C" w:rsidRDefault="00750BF2" w:rsidP="001110F2">
            <w:pPr>
              <w:spacing w:line="276" w:lineRule="auto"/>
              <w:rPr>
                <w:b/>
                <w:bCs/>
                <w:sz w:val="22"/>
                <w:szCs w:val="18"/>
              </w:rPr>
            </w:pPr>
            <w:r w:rsidRPr="0063012C">
              <w:rPr>
                <w:b/>
                <w:bCs/>
                <w:sz w:val="22"/>
                <w:szCs w:val="18"/>
              </w:rPr>
              <w:t>6. Vasaros koncertų estrados ir prieigų pritaikymas daugiatiksliam naudojimui</w:t>
            </w:r>
          </w:p>
        </w:tc>
        <w:tc>
          <w:tcPr>
            <w:tcW w:w="6918" w:type="dxa"/>
          </w:tcPr>
          <w:p w14:paraId="74B6B246" w14:textId="77777777" w:rsidR="00750BF2" w:rsidRDefault="00456A4C" w:rsidP="00456A4C">
            <w:pPr>
              <w:spacing w:line="276" w:lineRule="auto"/>
              <w:jc w:val="both"/>
              <w:rPr>
                <w:sz w:val="22"/>
                <w:szCs w:val="18"/>
                <w:lang w:eastAsia="lt-LT"/>
              </w:rPr>
            </w:pPr>
            <w:r>
              <w:rPr>
                <w:sz w:val="22"/>
                <w:szCs w:val="18"/>
                <w:lang w:eastAsia="lt-LT"/>
              </w:rPr>
              <w:t>Planuojama t</w:t>
            </w:r>
            <w:r w:rsidR="0063012C" w:rsidRPr="0063012C">
              <w:rPr>
                <w:sz w:val="22"/>
                <w:szCs w:val="18"/>
                <w:lang w:eastAsia="lt-LT"/>
              </w:rPr>
              <w:t>eritorij</w:t>
            </w:r>
            <w:r>
              <w:rPr>
                <w:sz w:val="22"/>
                <w:szCs w:val="18"/>
                <w:lang w:eastAsia="lt-LT"/>
              </w:rPr>
              <w:t>ą</w:t>
            </w:r>
            <w:r w:rsidR="0063012C" w:rsidRPr="0063012C">
              <w:rPr>
                <w:sz w:val="22"/>
                <w:szCs w:val="18"/>
                <w:lang w:eastAsia="lt-LT"/>
              </w:rPr>
              <w:t xml:space="preserve"> prie Vasaros koncertų estrados pritaik</w:t>
            </w:r>
            <w:r>
              <w:rPr>
                <w:sz w:val="22"/>
                <w:szCs w:val="18"/>
                <w:lang w:eastAsia="lt-LT"/>
              </w:rPr>
              <w:t xml:space="preserve">yti daugiatiksliam naudojimui: </w:t>
            </w:r>
            <w:r w:rsidR="0063012C" w:rsidRPr="0063012C">
              <w:rPr>
                <w:sz w:val="22"/>
                <w:szCs w:val="18"/>
                <w:lang w:eastAsia="lt-LT"/>
              </w:rPr>
              <w:t xml:space="preserve">neformaliajam švietimui, visuomenės sveikatinimo funkcijoms, įrengiant aktyvaus laisvalaikio, pramogų, rekreacijos zonas. Taip pat numatoma atnaujinti pėsčiųjų takus, mažąją architektūrą, įrengti riedučių, </w:t>
            </w:r>
            <w:proofErr w:type="spellStart"/>
            <w:r w:rsidR="0063012C" w:rsidRPr="0063012C">
              <w:rPr>
                <w:sz w:val="22"/>
                <w:szCs w:val="18"/>
                <w:lang w:eastAsia="lt-LT"/>
              </w:rPr>
              <w:t>riedlentininkų</w:t>
            </w:r>
            <w:proofErr w:type="spellEnd"/>
            <w:r w:rsidR="0063012C" w:rsidRPr="0063012C">
              <w:rPr>
                <w:sz w:val="22"/>
                <w:szCs w:val="18"/>
                <w:lang w:eastAsia="lt-LT"/>
              </w:rPr>
              <w:t xml:space="preserve"> sporto aikštelę.</w:t>
            </w:r>
          </w:p>
          <w:p w14:paraId="4C9E73E9" w14:textId="336DD332" w:rsidR="007445A2" w:rsidRPr="00750BF2" w:rsidRDefault="007445A2" w:rsidP="007445A2">
            <w:pPr>
              <w:spacing w:line="276" w:lineRule="auto"/>
              <w:jc w:val="both"/>
              <w:rPr>
                <w:sz w:val="22"/>
                <w:szCs w:val="18"/>
                <w:lang w:eastAsia="lt-LT"/>
              </w:rPr>
            </w:pPr>
            <w:r w:rsidRPr="007445A2">
              <w:rPr>
                <w:sz w:val="22"/>
                <w:szCs w:val="18"/>
                <w:lang w:eastAsia="lt-LT"/>
              </w:rPr>
              <w:t xml:space="preserve">Vasaros estrados raidos vizijos formavimo procesas prasidėjo 2020 m. </w:t>
            </w:r>
            <w:r>
              <w:rPr>
                <w:sz w:val="22"/>
                <w:szCs w:val="18"/>
                <w:lang w:eastAsia="lt-LT"/>
              </w:rPr>
              <w:t>Nurodytais metais b</w:t>
            </w:r>
            <w:r w:rsidRPr="007445A2">
              <w:rPr>
                <w:sz w:val="22"/>
                <w:szCs w:val="18"/>
                <w:lang w:eastAsia="lt-LT"/>
              </w:rPr>
              <w:t>uvo paskelbtas Vasaros koncertų es</w:t>
            </w:r>
            <w:r>
              <w:rPr>
                <w:sz w:val="22"/>
                <w:szCs w:val="18"/>
                <w:lang w:eastAsia="lt-LT"/>
              </w:rPr>
              <w:t>trados projekto konkursas, nagrinėtos</w:t>
            </w:r>
            <w:r w:rsidRPr="007445A2">
              <w:rPr>
                <w:sz w:val="22"/>
                <w:szCs w:val="18"/>
                <w:lang w:eastAsia="lt-LT"/>
              </w:rPr>
              <w:t xml:space="preserve"> įvairios alternatyvos dėl teritorijos sutvarkymo. 2023 m. buvo rengiamas Vasaros koncertų estrados ir prieigų sutvarkymo projektas, kurio sprendiniai </w:t>
            </w:r>
            <w:r>
              <w:rPr>
                <w:sz w:val="22"/>
                <w:szCs w:val="18"/>
                <w:lang w:eastAsia="lt-LT"/>
              </w:rPr>
              <w:t>aptarti</w:t>
            </w:r>
            <w:r w:rsidRPr="007445A2">
              <w:rPr>
                <w:sz w:val="22"/>
                <w:szCs w:val="18"/>
                <w:lang w:eastAsia="lt-LT"/>
              </w:rPr>
              <w:t xml:space="preserve"> su specialistais, visuomene.</w:t>
            </w:r>
          </w:p>
        </w:tc>
      </w:tr>
      <w:tr w:rsidR="00750BF2" w14:paraId="2FF33D7D" w14:textId="77777777" w:rsidTr="0063012C">
        <w:tc>
          <w:tcPr>
            <w:tcW w:w="9607" w:type="dxa"/>
            <w:gridSpan w:val="2"/>
            <w:shd w:val="clear" w:color="auto" w:fill="BFBFBF" w:themeFill="background1" w:themeFillShade="BF"/>
          </w:tcPr>
          <w:p w14:paraId="1E655178" w14:textId="31C54FAC" w:rsidR="00750BF2" w:rsidRPr="00750BF2" w:rsidRDefault="00750BF2" w:rsidP="001110F2">
            <w:pPr>
              <w:spacing w:line="276" w:lineRule="auto"/>
              <w:jc w:val="both"/>
              <w:rPr>
                <w:sz w:val="22"/>
                <w:szCs w:val="18"/>
                <w:lang w:eastAsia="lt-LT"/>
              </w:rPr>
            </w:pPr>
            <w:r w:rsidRPr="00750BF2">
              <w:rPr>
                <w:b/>
                <w:bCs/>
                <w:sz w:val="22"/>
                <w:szCs w:val="18"/>
              </w:rPr>
              <w:t xml:space="preserve">Klaipėdos </w:t>
            </w:r>
            <w:r>
              <w:rPr>
                <w:b/>
                <w:bCs/>
                <w:sz w:val="22"/>
                <w:szCs w:val="18"/>
              </w:rPr>
              <w:t>rajono</w:t>
            </w:r>
            <w:r w:rsidRPr="00750BF2">
              <w:rPr>
                <w:b/>
                <w:bCs/>
                <w:sz w:val="22"/>
                <w:szCs w:val="18"/>
              </w:rPr>
              <w:t xml:space="preserve"> savivaldybė</w:t>
            </w:r>
          </w:p>
        </w:tc>
      </w:tr>
      <w:tr w:rsidR="00750BF2" w14:paraId="126EBA05" w14:textId="77777777" w:rsidTr="0063012C">
        <w:tc>
          <w:tcPr>
            <w:tcW w:w="2689" w:type="dxa"/>
            <w:shd w:val="clear" w:color="auto" w:fill="F2F2F2" w:themeFill="background1" w:themeFillShade="F2"/>
          </w:tcPr>
          <w:p w14:paraId="6DA49262" w14:textId="41B05A4F" w:rsidR="00750BF2" w:rsidRDefault="00750BF2" w:rsidP="00750BF2">
            <w:pPr>
              <w:spacing w:line="276" w:lineRule="auto"/>
              <w:rPr>
                <w:sz w:val="22"/>
                <w:szCs w:val="18"/>
              </w:rPr>
            </w:pPr>
            <w:r w:rsidRPr="00750BF2">
              <w:rPr>
                <w:b/>
                <w:bCs/>
                <w:sz w:val="22"/>
                <w:szCs w:val="18"/>
              </w:rPr>
              <w:t>Projektas</w:t>
            </w:r>
          </w:p>
        </w:tc>
        <w:tc>
          <w:tcPr>
            <w:tcW w:w="6918" w:type="dxa"/>
            <w:shd w:val="clear" w:color="auto" w:fill="F2F2F2" w:themeFill="background1" w:themeFillShade="F2"/>
          </w:tcPr>
          <w:p w14:paraId="5D90ADF7" w14:textId="25856C95" w:rsidR="00750BF2" w:rsidRPr="00750BF2" w:rsidRDefault="00750BF2" w:rsidP="00750BF2">
            <w:pPr>
              <w:spacing w:line="276" w:lineRule="auto"/>
              <w:jc w:val="both"/>
              <w:rPr>
                <w:sz w:val="22"/>
                <w:szCs w:val="18"/>
                <w:lang w:eastAsia="lt-LT"/>
              </w:rPr>
            </w:pPr>
            <w:r w:rsidRPr="00750BF2">
              <w:rPr>
                <w:b/>
                <w:bCs/>
                <w:sz w:val="22"/>
                <w:szCs w:val="18"/>
              </w:rPr>
              <w:t>Projekto veiklos ir pagrindimas</w:t>
            </w:r>
          </w:p>
        </w:tc>
      </w:tr>
      <w:tr w:rsidR="00750BF2" w14:paraId="678FF79B" w14:textId="77777777" w:rsidTr="001764A1">
        <w:tc>
          <w:tcPr>
            <w:tcW w:w="2689" w:type="dxa"/>
          </w:tcPr>
          <w:p w14:paraId="1B0545C8" w14:textId="12DB1631" w:rsidR="00750BF2" w:rsidRPr="0063012C" w:rsidRDefault="00750BF2" w:rsidP="00750BF2">
            <w:pPr>
              <w:spacing w:line="276" w:lineRule="auto"/>
              <w:rPr>
                <w:b/>
                <w:bCs/>
                <w:sz w:val="22"/>
                <w:szCs w:val="18"/>
              </w:rPr>
            </w:pPr>
            <w:r w:rsidRPr="0063012C">
              <w:rPr>
                <w:b/>
                <w:bCs/>
                <w:sz w:val="22"/>
                <w:szCs w:val="18"/>
              </w:rPr>
              <w:t>7. Viešosios infrastruktūros plėtra, siekiant sumažinti ikimokyklinio ugdymo ir viešųjų paslaugų trūkumą Sendvario seniūnijoje</w:t>
            </w:r>
          </w:p>
        </w:tc>
        <w:tc>
          <w:tcPr>
            <w:tcW w:w="6918" w:type="dxa"/>
          </w:tcPr>
          <w:p w14:paraId="4B66D99F" w14:textId="424E359F" w:rsidR="00750BF2" w:rsidRDefault="00396B41" w:rsidP="00750BF2">
            <w:pPr>
              <w:spacing w:line="276" w:lineRule="auto"/>
              <w:jc w:val="both"/>
              <w:rPr>
                <w:sz w:val="22"/>
                <w:szCs w:val="18"/>
                <w:lang w:eastAsia="lt-LT"/>
              </w:rPr>
            </w:pPr>
            <w:r>
              <w:rPr>
                <w:sz w:val="22"/>
                <w:szCs w:val="18"/>
                <w:lang w:eastAsia="lt-LT"/>
              </w:rPr>
              <w:t>Planuojamas n</w:t>
            </w:r>
            <w:r w:rsidR="0063012C" w:rsidRPr="0063012C">
              <w:rPr>
                <w:sz w:val="22"/>
                <w:szCs w:val="18"/>
                <w:lang w:eastAsia="lt-LT"/>
              </w:rPr>
              <w:t xml:space="preserve">aujo darželio projektavimas ir statyba Juodžemių g. 29, </w:t>
            </w:r>
            <w:proofErr w:type="spellStart"/>
            <w:r w:rsidR="0063012C" w:rsidRPr="0063012C">
              <w:rPr>
                <w:sz w:val="22"/>
                <w:szCs w:val="18"/>
                <w:lang w:eastAsia="lt-LT"/>
              </w:rPr>
              <w:t>Mazūriškių</w:t>
            </w:r>
            <w:proofErr w:type="spellEnd"/>
            <w:r w:rsidR="0063012C" w:rsidRPr="0063012C">
              <w:rPr>
                <w:sz w:val="22"/>
                <w:szCs w:val="18"/>
                <w:lang w:eastAsia="lt-LT"/>
              </w:rPr>
              <w:t xml:space="preserve"> k., Sendvario sen., Klaipėdos r., </w:t>
            </w:r>
            <w:r>
              <w:rPr>
                <w:sz w:val="22"/>
                <w:szCs w:val="18"/>
                <w:lang w:eastAsia="lt-LT"/>
              </w:rPr>
              <w:t>pritaikant</w:t>
            </w:r>
            <w:r w:rsidR="0063012C" w:rsidRPr="0063012C">
              <w:rPr>
                <w:sz w:val="22"/>
                <w:szCs w:val="18"/>
                <w:lang w:eastAsia="lt-LT"/>
              </w:rPr>
              <w:t xml:space="preserve"> bendruomenės reikmėms. </w:t>
            </w:r>
            <w:r>
              <w:rPr>
                <w:sz w:val="22"/>
                <w:szCs w:val="18"/>
                <w:lang w:eastAsia="lt-LT"/>
              </w:rPr>
              <w:t>Numatoma</w:t>
            </w:r>
            <w:r w:rsidR="0063012C" w:rsidRPr="0063012C">
              <w:rPr>
                <w:sz w:val="22"/>
                <w:szCs w:val="18"/>
                <w:lang w:eastAsia="lt-LT"/>
              </w:rPr>
              <w:t xml:space="preserve"> pastatyti modernų 8 grupių lopšelį-darželį ir įkurti 150 naujų vietų. Lopšelio- darželio nedarbo valandomis vietos </w:t>
            </w:r>
            <w:r w:rsidRPr="0063012C">
              <w:rPr>
                <w:sz w:val="22"/>
                <w:szCs w:val="18"/>
                <w:lang w:eastAsia="lt-LT"/>
              </w:rPr>
              <w:t>bendruomenei</w:t>
            </w:r>
            <w:r w:rsidR="0063012C" w:rsidRPr="0063012C">
              <w:rPr>
                <w:sz w:val="22"/>
                <w:szCs w:val="18"/>
                <w:lang w:eastAsia="lt-LT"/>
              </w:rPr>
              <w:t xml:space="preserve"> bus suteikta galimybė pagal poreikį naudotis lopšelio-darželio sale, taip užtikrinant objekto </w:t>
            </w:r>
            <w:proofErr w:type="spellStart"/>
            <w:r w:rsidR="0063012C" w:rsidRPr="0063012C">
              <w:rPr>
                <w:sz w:val="22"/>
                <w:szCs w:val="18"/>
                <w:lang w:eastAsia="lt-LT"/>
              </w:rPr>
              <w:t>daugiafunkciškumą</w:t>
            </w:r>
            <w:proofErr w:type="spellEnd"/>
            <w:r w:rsidR="0063012C" w:rsidRPr="0063012C">
              <w:rPr>
                <w:sz w:val="22"/>
                <w:szCs w:val="18"/>
                <w:lang w:eastAsia="lt-LT"/>
              </w:rPr>
              <w:t xml:space="preserve">: užtikrinamos ne vien švietimo, bet </w:t>
            </w:r>
            <w:r w:rsidR="0063012C" w:rsidRPr="0063012C">
              <w:rPr>
                <w:sz w:val="22"/>
                <w:szCs w:val="18"/>
                <w:lang w:eastAsia="lt-LT"/>
              </w:rPr>
              <w:lastRenderedPageBreak/>
              <w:t>ir vietos gyventojų laisvalaikio ir poilsio paslaugos (Lietuvos Respublikos vietos savivaldos įstatymo 6 str. 29 p.).</w:t>
            </w:r>
          </w:p>
          <w:p w14:paraId="074FE3B0" w14:textId="6CB3396A" w:rsidR="0063012C" w:rsidRPr="0063012C" w:rsidRDefault="00D713CB" w:rsidP="0063012C">
            <w:pPr>
              <w:spacing w:line="276" w:lineRule="auto"/>
              <w:jc w:val="both"/>
              <w:rPr>
                <w:sz w:val="22"/>
                <w:szCs w:val="18"/>
                <w:lang w:eastAsia="lt-LT"/>
              </w:rPr>
            </w:pPr>
            <w:r>
              <w:rPr>
                <w:sz w:val="22"/>
                <w:szCs w:val="18"/>
                <w:lang w:eastAsia="lt-LT"/>
              </w:rPr>
              <w:t>Taip pat planuojamas p</w:t>
            </w:r>
            <w:r w:rsidR="0063012C" w:rsidRPr="0063012C">
              <w:rPr>
                <w:sz w:val="22"/>
                <w:szCs w:val="18"/>
                <w:lang w:eastAsia="lt-LT"/>
              </w:rPr>
              <w:t xml:space="preserve">ėsčiųjų ir dviračių takų, skirtų privažiuoti, prieiti prie naujai rengiamo daugiafunkcio centro, darželio, visuomeninių erdvių, įrengimas, sujungiant tvarkomą teritoriją su aplinkinėmis teritorijomis ir esamais pėsčiųjų ir dviračių takais. Pėsčiųjų ir dviračių takai įrengiami: </w:t>
            </w:r>
          </w:p>
          <w:p w14:paraId="1EDE8F23" w14:textId="2887A2FC" w:rsidR="0063012C" w:rsidRPr="0052735E" w:rsidRDefault="0063012C" w:rsidP="0052735E">
            <w:pPr>
              <w:pStyle w:val="ListParagraph"/>
              <w:numPr>
                <w:ilvl w:val="0"/>
                <w:numId w:val="3"/>
              </w:numPr>
              <w:spacing w:line="276" w:lineRule="auto"/>
              <w:ind w:left="311" w:hanging="284"/>
              <w:jc w:val="both"/>
              <w:rPr>
                <w:sz w:val="22"/>
                <w:szCs w:val="18"/>
                <w:lang w:eastAsia="lt-LT"/>
              </w:rPr>
            </w:pPr>
            <w:r w:rsidRPr="0052735E">
              <w:rPr>
                <w:sz w:val="22"/>
                <w:szCs w:val="18"/>
                <w:lang w:eastAsia="lt-LT"/>
              </w:rPr>
              <w:t>Juodžemių gatvėje;</w:t>
            </w:r>
          </w:p>
          <w:p w14:paraId="5B25EE08" w14:textId="3F5FAEA2" w:rsidR="0063012C" w:rsidRPr="0052735E" w:rsidRDefault="0063012C" w:rsidP="0052735E">
            <w:pPr>
              <w:pStyle w:val="ListParagraph"/>
              <w:numPr>
                <w:ilvl w:val="0"/>
                <w:numId w:val="3"/>
              </w:numPr>
              <w:spacing w:line="276" w:lineRule="auto"/>
              <w:ind w:left="311" w:hanging="284"/>
              <w:jc w:val="both"/>
              <w:rPr>
                <w:sz w:val="22"/>
                <w:szCs w:val="18"/>
                <w:lang w:eastAsia="lt-LT"/>
              </w:rPr>
            </w:pPr>
            <w:proofErr w:type="spellStart"/>
            <w:r w:rsidRPr="0052735E">
              <w:rPr>
                <w:sz w:val="22"/>
                <w:szCs w:val="18"/>
                <w:lang w:eastAsia="lt-LT"/>
              </w:rPr>
              <w:t>Agilos</w:t>
            </w:r>
            <w:proofErr w:type="spellEnd"/>
            <w:r w:rsidRPr="0052735E">
              <w:rPr>
                <w:sz w:val="22"/>
                <w:szCs w:val="18"/>
                <w:lang w:eastAsia="lt-LT"/>
              </w:rPr>
              <w:t xml:space="preserve"> gatvėje iki </w:t>
            </w:r>
            <w:proofErr w:type="spellStart"/>
            <w:r w:rsidRPr="0052735E">
              <w:rPr>
                <w:sz w:val="22"/>
                <w:szCs w:val="18"/>
                <w:lang w:eastAsia="lt-LT"/>
              </w:rPr>
              <w:t>Smeltaitės</w:t>
            </w:r>
            <w:proofErr w:type="spellEnd"/>
            <w:r w:rsidRPr="0052735E">
              <w:rPr>
                <w:sz w:val="22"/>
                <w:szCs w:val="18"/>
                <w:lang w:eastAsia="lt-LT"/>
              </w:rPr>
              <w:t xml:space="preserve"> gatvės;</w:t>
            </w:r>
          </w:p>
          <w:p w14:paraId="0A0AF709" w14:textId="77777777" w:rsidR="0063012C" w:rsidRDefault="0063012C" w:rsidP="0052735E">
            <w:pPr>
              <w:pStyle w:val="ListParagraph"/>
              <w:numPr>
                <w:ilvl w:val="0"/>
                <w:numId w:val="3"/>
              </w:numPr>
              <w:spacing w:line="276" w:lineRule="auto"/>
              <w:ind w:left="311" w:hanging="284"/>
              <w:jc w:val="both"/>
              <w:rPr>
                <w:sz w:val="22"/>
                <w:szCs w:val="18"/>
                <w:lang w:eastAsia="lt-LT"/>
              </w:rPr>
            </w:pPr>
            <w:r w:rsidRPr="0052735E">
              <w:rPr>
                <w:sz w:val="22"/>
                <w:szCs w:val="18"/>
                <w:lang w:eastAsia="lt-LT"/>
              </w:rPr>
              <w:t>Jurgaičių, Šilelių gatvėse iki Planetų gatvės.</w:t>
            </w:r>
          </w:p>
          <w:p w14:paraId="3452CD05" w14:textId="42885F20" w:rsidR="00396B41" w:rsidRPr="00396B41" w:rsidRDefault="00396B41" w:rsidP="00396B41">
            <w:pPr>
              <w:spacing w:line="276" w:lineRule="auto"/>
              <w:ind w:left="27"/>
              <w:jc w:val="both"/>
              <w:rPr>
                <w:sz w:val="22"/>
                <w:szCs w:val="18"/>
                <w:lang w:eastAsia="lt-LT"/>
              </w:rPr>
            </w:pPr>
            <w:r w:rsidRPr="00396B41">
              <w:rPr>
                <w:sz w:val="22"/>
                <w:szCs w:val="18"/>
                <w:lang w:eastAsia="lt-LT"/>
              </w:rPr>
              <w:t xml:space="preserve">Tikslinėje </w:t>
            </w:r>
            <w:r w:rsidR="00D713CB">
              <w:rPr>
                <w:sz w:val="22"/>
                <w:szCs w:val="18"/>
                <w:lang w:eastAsia="lt-LT"/>
              </w:rPr>
              <w:t xml:space="preserve">Strategijos </w:t>
            </w:r>
            <w:r w:rsidRPr="00396B41">
              <w:rPr>
                <w:sz w:val="22"/>
                <w:szCs w:val="18"/>
                <w:lang w:eastAsia="lt-LT"/>
              </w:rPr>
              <w:t xml:space="preserve">teritorijoje nėra Klaipėdos rajono savivaldybės administracijai priklausančių patalpų, kurias būtų galima rekonstruoti ar kitaip pritaikyti ikimokyklinio ugdymo įtaigos veiklai, todėl pasirinktas naujos infrastruktūros sukūrimas, kas užtikrins tinkamų sąlygų sukūrimą būsimiems įstaigos lankytojams bei atitikimą higienos normoms. Naujos pėsčiųjų ir dviračių infrastruktūros kūrimas pasirinktas atsižvelgiant į planuojamus judėjimo srautus. Numatytose atkarpose pėsčiųjų ir dviračių takų nėra </w:t>
            </w:r>
            <w:r w:rsidR="00D713CB">
              <w:rPr>
                <w:sz w:val="22"/>
                <w:szCs w:val="18"/>
                <w:lang w:eastAsia="lt-LT"/>
              </w:rPr>
              <w:t xml:space="preserve">– </w:t>
            </w:r>
            <w:r w:rsidRPr="00396B41">
              <w:rPr>
                <w:sz w:val="22"/>
                <w:szCs w:val="18"/>
                <w:lang w:eastAsia="lt-LT"/>
              </w:rPr>
              <w:t>naujai</w:t>
            </w:r>
            <w:r w:rsidR="00D713CB">
              <w:rPr>
                <w:sz w:val="22"/>
                <w:szCs w:val="18"/>
                <w:lang w:eastAsia="lt-LT"/>
              </w:rPr>
              <w:t xml:space="preserve"> </w:t>
            </w:r>
            <w:r w:rsidRPr="00396B41">
              <w:rPr>
                <w:sz w:val="22"/>
                <w:szCs w:val="18"/>
                <w:lang w:eastAsia="lt-LT"/>
              </w:rPr>
              <w:t>įrengta infrastruktūra sudarys galimybes apjungti jau esamas atkarpas.</w:t>
            </w:r>
          </w:p>
        </w:tc>
      </w:tr>
    </w:tbl>
    <w:p w14:paraId="0E7A2FD5" w14:textId="12726F4F" w:rsidR="004A33E0" w:rsidRPr="00626AEB" w:rsidRDefault="00626AEB" w:rsidP="00626AEB">
      <w:pPr>
        <w:pStyle w:val="Caption"/>
        <w:spacing w:before="120" w:after="40"/>
        <w:rPr>
          <w:rFonts w:eastAsia="Calibri"/>
          <w:i w:val="0"/>
          <w:iCs w:val="0"/>
          <w:color w:val="auto"/>
          <w:sz w:val="22"/>
          <w:szCs w:val="22"/>
        </w:rPr>
      </w:pPr>
      <w:r w:rsidRPr="00626AEB">
        <w:rPr>
          <w:b/>
          <w:bCs/>
          <w:i w:val="0"/>
          <w:iCs w:val="0"/>
          <w:color w:val="auto"/>
          <w:sz w:val="22"/>
          <w:szCs w:val="22"/>
        </w:rPr>
        <w:lastRenderedPageBreak/>
        <w:fldChar w:fldCharType="begin"/>
      </w:r>
      <w:r w:rsidRPr="00626AEB">
        <w:rPr>
          <w:b/>
          <w:bCs/>
          <w:i w:val="0"/>
          <w:iCs w:val="0"/>
          <w:color w:val="auto"/>
          <w:sz w:val="22"/>
          <w:szCs w:val="22"/>
        </w:rPr>
        <w:instrText xml:space="preserve"> SEQ lentelė \* ARABIC </w:instrText>
      </w:r>
      <w:r w:rsidRPr="00626AEB">
        <w:rPr>
          <w:b/>
          <w:bCs/>
          <w:i w:val="0"/>
          <w:iCs w:val="0"/>
          <w:color w:val="auto"/>
          <w:sz w:val="22"/>
          <w:szCs w:val="22"/>
        </w:rPr>
        <w:fldChar w:fldCharType="separate"/>
      </w:r>
      <w:r w:rsidR="000A4091">
        <w:rPr>
          <w:b/>
          <w:bCs/>
          <w:i w:val="0"/>
          <w:iCs w:val="0"/>
          <w:noProof/>
          <w:color w:val="auto"/>
          <w:sz w:val="22"/>
          <w:szCs w:val="22"/>
        </w:rPr>
        <w:t>2</w:t>
      </w:r>
      <w:r w:rsidRPr="00626AEB">
        <w:rPr>
          <w:b/>
          <w:bCs/>
          <w:i w:val="0"/>
          <w:iCs w:val="0"/>
          <w:color w:val="auto"/>
          <w:sz w:val="22"/>
          <w:szCs w:val="22"/>
        </w:rPr>
        <w:fldChar w:fldCharType="end"/>
      </w:r>
      <w:r w:rsidRPr="00626AEB">
        <w:rPr>
          <w:b/>
          <w:bCs/>
          <w:i w:val="0"/>
          <w:iCs w:val="0"/>
          <w:color w:val="auto"/>
          <w:sz w:val="22"/>
          <w:szCs w:val="22"/>
        </w:rPr>
        <w:t xml:space="preserve"> lentelė.</w:t>
      </w:r>
      <w:r w:rsidRPr="00626AEB">
        <w:rPr>
          <w:i w:val="0"/>
          <w:iCs w:val="0"/>
          <w:color w:val="auto"/>
          <w:sz w:val="22"/>
          <w:szCs w:val="22"/>
        </w:rPr>
        <w:t xml:space="preserve"> Projektų vykdytojai (arba pareiškėjai) ir </w:t>
      </w:r>
      <w:r w:rsidR="00DD20A7">
        <w:rPr>
          <w:i w:val="0"/>
          <w:iCs w:val="0"/>
          <w:color w:val="auto"/>
          <w:sz w:val="22"/>
          <w:szCs w:val="22"/>
        </w:rPr>
        <w:t xml:space="preserve">galimi </w:t>
      </w:r>
      <w:r w:rsidRPr="00626AEB">
        <w:rPr>
          <w:i w:val="0"/>
          <w:iCs w:val="0"/>
          <w:color w:val="auto"/>
          <w:sz w:val="22"/>
          <w:szCs w:val="22"/>
        </w:rPr>
        <w:t>partneriai</w:t>
      </w:r>
    </w:p>
    <w:tbl>
      <w:tblPr>
        <w:tblStyle w:val="TableGrid"/>
        <w:tblW w:w="0" w:type="auto"/>
        <w:tblLook w:val="04A0" w:firstRow="1" w:lastRow="0" w:firstColumn="1" w:lastColumn="0" w:noHBand="0" w:noVBand="1"/>
      </w:tblPr>
      <w:tblGrid>
        <w:gridCol w:w="2800"/>
        <w:gridCol w:w="3291"/>
        <w:gridCol w:w="3537"/>
      </w:tblGrid>
      <w:tr w:rsidR="00DD20A7" w:rsidRPr="000435FA" w14:paraId="7710034D" w14:textId="3BF0E11A" w:rsidTr="00225B4A">
        <w:trPr>
          <w:trHeight w:val="1501"/>
        </w:trPr>
        <w:tc>
          <w:tcPr>
            <w:tcW w:w="2800" w:type="dxa"/>
            <w:shd w:val="clear" w:color="auto" w:fill="D0CECE" w:themeFill="background2" w:themeFillShade="E6"/>
            <w:vAlign w:val="center"/>
          </w:tcPr>
          <w:p w14:paraId="32765F2A" w14:textId="77777777" w:rsidR="00DD20A7" w:rsidRPr="000435FA" w:rsidRDefault="00DD20A7" w:rsidP="00C13FAE">
            <w:pPr>
              <w:tabs>
                <w:tab w:val="left" w:pos="851"/>
              </w:tabs>
              <w:spacing w:line="276" w:lineRule="auto"/>
              <w:rPr>
                <w:b/>
                <w:bCs/>
                <w:sz w:val="22"/>
                <w:szCs w:val="18"/>
              </w:rPr>
            </w:pPr>
            <w:r w:rsidRPr="000435FA">
              <w:rPr>
                <w:b/>
                <w:bCs/>
                <w:sz w:val="22"/>
                <w:szCs w:val="18"/>
              </w:rPr>
              <w:t>Projektų vykdytojai arba pareiškėjai</w:t>
            </w:r>
          </w:p>
        </w:tc>
        <w:tc>
          <w:tcPr>
            <w:tcW w:w="3291" w:type="dxa"/>
            <w:vAlign w:val="center"/>
          </w:tcPr>
          <w:p w14:paraId="2D6E2F0E" w14:textId="0D2A5BE7" w:rsidR="00DD20A7" w:rsidRPr="00D2259F" w:rsidRDefault="00DD20A7" w:rsidP="00D2259F">
            <w:pPr>
              <w:tabs>
                <w:tab w:val="left" w:pos="851"/>
              </w:tabs>
              <w:spacing w:before="40" w:after="40"/>
              <w:rPr>
                <w:sz w:val="22"/>
                <w:szCs w:val="18"/>
              </w:rPr>
            </w:pPr>
            <w:r w:rsidRPr="00116A4C">
              <w:rPr>
                <w:sz w:val="22"/>
                <w:szCs w:val="18"/>
              </w:rPr>
              <w:t xml:space="preserve">Regiono savivaldybių administracijos. </w:t>
            </w:r>
          </w:p>
        </w:tc>
        <w:tc>
          <w:tcPr>
            <w:tcW w:w="3537" w:type="dxa"/>
            <w:vMerge w:val="restart"/>
          </w:tcPr>
          <w:p w14:paraId="0F7AB2D4" w14:textId="5856B7CE" w:rsidR="00DD20A7" w:rsidRPr="00D2259F" w:rsidRDefault="00DD20A7" w:rsidP="00DD20A7">
            <w:pPr>
              <w:tabs>
                <w:tab w:val="left" w:pos="851"/>
              </w:tabs>
              <w:spacing w:before="40" w:after="40"/>
              <w:jc w:val="both"/>
              <w:rPr>
                <w:sz w:val="22"/>
                <w:szCs w:val="18"/>
              </w:rPr>
            </w:pPr>
            <w:r w:rsidRPr="00D2259F">
              <w:rPr>
                <w:sz w:val="22"/>
                <w:szCs w:val="18"/>
              </w:rPr>
              <w:t xml:space="preserve">Projektų vykdytojai ir </w:t>
            </w:r>
            <w:r w:rsidR="009C22FD" w:rsidRPr="00D2259F">
              <w:rPr>
                <w:sz w:val="22"/>
                <w:szCs w:val="18"/>
              </w:rPr>
              <w:t xml:space="preserve">galimi </w:t>
            </w:r>
            <w:r w:rsidRPr="00D2259F">
              <w:rPr>
                <w:sz w:val="22"/>
                <w:szCs w:val="18"/>
              </w:rPr>
              <w:t>partneriai pasirinkti įvertinus Lietuvos Respublikos vietos savivaldos įstatymo 6 straipsnio nuostatas.</w:t>
            </w:r>
          </w:p>
          <w:p w14:paraId="22F87970" w14:textId="19A9504F" w:rsidR="00DD20A7" w:rsidRPr="00116A4C" w:rsidRDefault="00DD20A7" w:rsidP="00DD20A7">
            <w:pPr>
              <w:tabs>
                <w:tab w:val="left" w:pos="851"/>
              </w:tabs>
              <w:spacing w:before="40" w:after="40"/>
              <w:jc w:val="both"/>
              <w:rPr>
                <w:sz w:val="22"/>
                <w:szCs w:val="18"/>
              </w:rPr>
            </w:pPr>
            <w:r w:rsidRPr="00D2259F">
              <w:rPr>
                <w:sz w:val="22"/>
                <w:szCs w:val="18"/>
              </w:rPr>
              <w:t>Viešąsias paslaugas savivaldybių gyventojams teikia savivaldybių įsteigti paslaugų teikėjai arba pagal sudarytas sutartis kiti viešai pasirenkami fiziniai ar juridiniai asmenys.</w:t>
            </w:r>
          </w:p>
        </w:tc>
      </w:tr>
      <w:tr w:rsidR="00DD20A7" w:rsidRPr="000435FA" w14:paraId="777D464E" w14:textId="3157931B" w:rsidTr="00225B4A">
        <w:tc>
          <w:tcPr>
            <w:tcW w:w="2800" w:type="dxa"/>
            <w:shd w:val="clear" w:color="auto" w:fill="D0CECE" w:themeFill="background2" w:themeFillShade="E6"/>
            <w:vAlign w:val="center"/>
          </w:tcPr>
          <w:p w14:paraId="3C5BA24D" w14:textId="3EBF079A" w:rsidR="00DD20A7" w:rsidRPr="000435FA" w:rsidRDefault="00DD20A7" w:rsidP="00C13FAE">
            <w:pPr>
              <w:tabs>
                <w:tab w:val="left" w:pos="851"/>
              </w:tabs>
              <w:spacing w:line="276" w:lineRule="auto"/>
              <w:rPr>
                <w:b/>
                <w:bCs/>
                <w:sz w:val="22"/>
                <w:szCs w:val="18"/>
              </w:rPr>
            </w:pPr>
            <w:r w:rsidRPr="00D2259F">
              <w:rPr>
                <w:b/>
                <w:bCs/>
                <w:sz w:val="22"/>
                <w:szCs w:val="18"/>
              </w:rPr>
              <w:t>Galimi partneriai</w:t>
            </w:r>
          </w:p>
        </w:tc>
        <w:tc>
          <w:tcPr>
            <w:tcW w:w="3291" w:type="dxa"/>
            <w:vAlign w:val="center"/>
          </w:tcPr>
          <w:p w14:paraId="226E2B3B" w14:textId="1D08D4E4" w:rsidR="00DD20A7" w:rsidRPr="00D2259F" w:rsidRDefault="00DD20A7" w:rsidP="00D2259F">
            <w:pPr>
              <w:tabs>
                <w:tab w:val="left" w:pos="851"/>
              </w:tabs>
              <w:spacing w:before="40" w:after="40"/>
              <w:rPr>
                <w:sz w:val="22"/>
                <w:szCs w:val="18"/>
              </w:rPr>
            </w:pPr>
            <w:r w:rsidRPr="00D2259F">
              <w:rPr>
                <w:sz w:val="22"/>
                <w:szCs w:val="18"/>
              </w:rPr>
              <w:t>Regiono savivaldybių įsteigti viešųjų paslaugų teikėjai.</w:t>
            </w:r>
          </w:p>
        </w:tc>
        <w:tc>
          <w:tcPr>
            <w:tcW w:w="3537" w:type="dxa"/>
            <w:vMerge/>
          </w:tcPr>
          <w:p w14:paraId="07B34F59" w14:textId="77777777" w:rsidR="00DD20A7" w:rsidRPr="00116A4C" w:rsidRDefault="00DD20A7" w:rsidP="00C13FAE">
            <w:pPr>
              <w:tabs>
                <w:tab w:val="left" w:pos="851"/>
              </w:tabs>
              <w:spacing w:before="40" w:after="40"/>
              <w:jc w:val="both"/>
              <w:rPr>
                <w:sz w:val="22"/>
                <w:szCs w:val="18"/>
              </w:rPr>
            </w:pPr>
          </w:p>
        </w:tc>
      </w:tr>
    </w:tbl>
    <w:p w14:paraId="0723DC05" w14:textId="77777777" w:rsidR="004A33E0" w:rsidRPr="004A33E0" w:rsidRDefault="004A33E0" w:rsidP="004A33E0">
      <w:pPr>
        <w:spacing w:line="276" w:lineRule="auto"/>
        <w:jc w:val="both"/>
        <w:rPr>
          <w:rFonts w:eastAsia="Calibri"/>
          <w:iCs/>
          <w:color w:val="808080"/>
        </w:rPr>
      </w:pPr>
    </w:p>
    <w:p w14:paraId="5080DF21" w14:textId="4CB3D279"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 SKYRIUS</w:t>
      </w:r>
    </w:p>
    <w:p w14:paraId="5080DF22" w14:textId="1BF8BD17"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PROJEKTŲ ATRANKA</w:t>
      </w:r>
    </w:p>
    <w:p w14:paraId="5080DF23" w14:textId="77777777" w:rsidR="00F15D0E" w:rsidRDefault="00F15D0E" w:rsidP="001110F2">
      <w:pPr>
        <w:spacing w:line="276" w:lineRule="auto"/>
        <w:ind w:firstLine="567"/>
        <w:jc w:val="both"/>
      </w:pPr>
    </w:p>
    <w:p w14:paraId="50CC8ACD" w14:textId="5C331D73" w:rsidR="0031686D" w:rsidRDefault="00817E3B" w:rsidP="001110F2">
      <w:pPr>
        <w:tabs>
          <w:tab w:val="left" w:pos="598"/>
        </w:tabs>
        <w:spacing w:line="276" w:lineRule="auto"/>
        <w:ind w:firstLine="851"/>
        <w:jc w:val="both"/>
        <w:rPr>
          <w:iCs/>
          <w:szCs w:val="24"/>
        </w:rPr>
      </w:pPr>
      <w:r>
        <w:rPr>
          <w:iCs/>
          <w:szCs w:val="24"/>
        </w:rPr>
        <w:t xml:space="preserve">Atsižvelgiant į pažangos priemonės pobūdį, projektų atranka organizuojama planavimo būdu. </w:t>
      </w:r>
      <w:r w:rsidR="007C3040" w:rsidRPr="005E41C3">
        <w:rPr>
          <w:iCs/>
          <w:szCs w:val="24"/>
        </w:rPr>
        <w:t>Vadovaujantis</w:t>
      </w:r>
      <w:r w:rsidR="0031686D">
        <w:rPr>
          <w:iCs/>
          <w:szCs w:val="24"/>
        </w:rPr>
        <w:t xml:space="preserve"> Strateginio valdymo metodikos 135.2. papunkčiu, </w:t>
      </w:r>
      <w:r w:rsidR="0031686D">
        <w:t>planavimo būdas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r w:rsidR="0031686D">
        <w:rPr>
          <w:iCs/>
          <w:szCs w:val="24"/>
        </w:rPr>
        <w:t xml:space="preserve">. </w:t>
      </w:r>
      <w:r w:rsidR="00AE695C">
        <w:rPr>
          <w:iCs/>
          <w:szCs w:val="24"/>
        </w:rPr>
        <w:t xml:space="preserve">Pažangos priemonės įgyvendinimui numatyti projektai atitinka </w:t>
      </w:r>
      <w:r>
        <w:rPr>
          <w:iCs/>
          <w:szCs w:val="24"/>
        </w:rPr>
        <w:t xml:space="preserve">Lietuvos Respublikos vietos savivaldos įstatymo 6 straipsnio </w:t>
      </w:r>
      <w:r w:rsidR="008B5C71">
        <w:rPr>
          <w:iCs/>
          <w:szCs w:val="24"/>
        </w:rPr>
        <w:t>nuosta</w:t>
      </w:r>
      <w:r w:rsidR="00AE695C">
        <w:rPr>
          <w:iCs/>
          <w:szCs w:val="24"/>
        </w:rPr>
        <w:t xml:space="preserve">tas. </w:t>
      </w:r>
    </w:p>
    <w:p w14:paraId="76D15365" w14:textId="7605B921" w:rsidR="007C3040" w:rsidRPr="00753280" w:rsidRDefault="007C3040" w:rsidP="001110F2">
      <w:pPr>
        <w:tabs>
          <w:tab w:val="left" w:pos="598"/>
        </w:tabs>
        <w:spacing w:line="276" w:lineRule="auto"/>
        <w:ind w:firstLine="851"/>
        <w:jc w:val="both"/>
        <w:rPr>
          <w:i/>
          <w:color w:val="808080"/>
          <w:szCs w:val="24"/>
          <w:lang w:val="en-US"/>
        </w:rPr>
      </w:pPr>
      <w:r w:rsidRPr="005E41C3">
        <w:rPr>
          <w:iCs/>
          <w:szCs w:val="24"/>
        </w:rPr>
        <w:t>Planuojam</w:t>
      </w:r>
      <w:r w:rsidR="0063458E">
        <w:rPr>
          <w:iCs/>
          <w:szCs w:val="24"/>
        </w:rPr>
        <w:t>ų</w:t>
      </w:r>
      <w:r w:rsidRPr="005E41C3">
        <w:rPr>
          <w:iCs/>
          <w:szCs w:val="24"/>
        </w:rPr>
        <w:t xml:space="preserve"> </w:t>
      </w:r>
      <w:r w:rsidR="00B517E1">
        <w:rPr>
          <w:iCs/>
          <w:szCs w:val="24"/>
        </w:rPr>
        <w:t>projekt</w:t>
      </w:r>
      <w:r w:rsidR="0063458E">
        <w:rPr>
          <w:iCs/>
          <w:szCs w:val="24"/>
        </w:rPr>
        <w:t>ų</w:t>
      </w:r>
      <w:r w:rsidR="00B517E1">
        <w:rPr>
          <w:iCs/>
          <w:szCs w:val="24"/>
        </w:rPr>
        <w:t xml:space="preserve"> </w:t>
      </w:r>
      <w:r w:rsidR="00507A07">
        <w:rPr>
          <w:iCs/>
          <w:szCs w:val="24"/>
        </w:rPr>
        <w:t>veikl</w:t>
      </w:r>
      <w:r w:rsidR="0063458E">
        <w:rPr>
          <w:iCs/>
          <w:szCs w:val="24"/>
        </w:rPr>
        <w:t>os</w:t>
      </w:r>
      <w:r w:rsidRPr="005E41C3">
        <w:rPr>
          <w:iCs/>
          <w:szCs w:val="24"/>
        </w:rPr>
        <w:t xml:space="preserve"> prisideda prie </w:t>
      </w:r>
      <w:r>
        <w:rPr>
          <w:iCs/>
          <w:szCs w:val="24"/>
        </w:rPr>
        <w:t>r</w:t>
      </w:r>
      <w:r w:rsidRPr="001B51D9">
        <w:rPr>
          <w:szCs w:val="24"/>
        </w:rPr>
        <w:t xml:space="preserve">egioninės pažangos priemonės </w:t>
      </w:r>
      <w:r w:rsidR="0037227D" w:rsidRPr="0037227D">
        <w:rPr>
          <w:szCs w:val="24"/>
        </w:rPr>
        <w:t xml:space="preserve">Nr. </w:t>
      </w:r>
      <w:r w:rsidR="00507A07" w:rsidRPr="00507A07">
        <w:rPr>
          <w:szCs w:val="24"/>
        </w:rPr>
        <w:t xml:space="preserve">Nr. </w:t>
      </w:r>
      <w:r w:rsidR="00BB0D54" w:rsidRPr="00BB0D54">
        <w:rPr>
          <w:szCs w:val="24"/>
        </w:rPr>
        <w:t>01-004-07-02-01 (RE) „Pagerinti viešųjų paslaugų prieinamumą, darbo vietų pasiekiamumą ir tam reikalingų išteklių naudojimo efektyvumą“</w:t>
      </w:r>
      <w:r w:rsidR="00BB0D54">
        <w:rPr>
          <w:szCs w:val="24"/>
        </w:rPr>
        <w:t xml:space="preserve"> </w:t>
      </w:r>
      <w:r w:rsidRPr="005E41C3">
        <w:rPr>
          <w:iCs/>
          <w:szCs w:val="24"/>
        </w:rPr>
        <w:t>įgyvendinimo ir numatytų rezultatų pasiekimo.</w:t>
      </w:r>
    </w:p>
    <w:p w14:paraId="2A0EED9B" w14:textId="77777777" w:rsidR="007C3040" w:rsidRDefault="007C3040" w:rsidP="001110F2">
      <w:pPr>
        <w:spacing w:line="276" w:lineRule="auto"/>
        <w:jc w:val="center"/>
        <w:rPr>
          <w:b/>
          <w:bCs/>
        </w:rPr>
      </w:pPr>
    </w:p>
    <w:p w14:paraId="17159241" w14:textId="77777777" w:rsidR="00805F30" w:rsidRDefault="00805F30" w:rsidP="00E55BC5">
      <w:pPr>
        <w:spacing w:line="276" w:lineRule="auto"/>
        <w:rPr>
          <w:b/>
          <w:bCs/>
        </w:rPr>
      </w:pPr>
    </w:p>
    <w:p w14:paraId="04AB6AE6" w14:textId="77777777" w:rsidR="00156602" w:rsidRDefault="00156602" w:rsidP="00E55BC5">
      <w:pPr>
        <w:spacing w:line="276" w:lineRule="auto"/>
        <w:rPr>
          <w:b/>
          <w:bCs/>
        </w:rPr>
      </w:pPr>
    </w:p>
    <w:p w14:paraId="4D17887B" w14:textId="77777777" w:rsidR="00156602" w:rsidRDefault="00156602" w:rsidP="00E55BC5">
      <w:pPr>
        <w:spacing w:line="276" w:lineRule="auto"/>
        <w:rPr>
          <w:b/>
          <w:bCs/>
        </w:rPr>
      </w:pPr>
    </w:p>
    <w:p w14:paraId="5080DF27" w14:textId="2D027B9D"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 SKYRIUS</w:t>
      </w:r>
    </w:p>
    <w:p w14:paraId="5080DF28" w14:textId="003F5FDF"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PRISIDĖJIMAS PRIE HORIZONTALIŲJŲ PRINCIPŲ ĮGYVENDINIMO</w:t>
      </w:r>
    </w:p>
    <w:p w14:paraId="5080DF29" w14:textId="77777777" w:rsidR="00F15D0E" w:rsidRDefault="00F15D0E" w:rsidP="001110F2">
      <w:pPr>
        <w:spacing w:line="276" w:lineRule="auto"/>
        <w:ind w:firstLine="567"/>
        <w:jc w:val="both"/>
      </w:pPr>
    </w:p>
    <w:p w14:paraId="5080DF2C" w14:textId="64BBBFC4" w:rsidR="00F15D0E" w:rsidRPr="00E7428D" w:rsidRDefault="00E7428D" w:rsidP="00E7428D">
      <w:pPr>
        <w:pStyle w:val="Caption"/>
        <w:spacing w:after="40"/>
        <w:rPr>
          <w:i w:val="0"/>
          <w:iCs w:val="0"/>
          <w:color w:val="auto"/>
          <w:sz w:val="22"/>
          <w:szCs w:val="22"/>
        </w:rPr>
      </w:pPr>
      <w:r w:rsidRPr="00E7428D">
        <w:rPr>
          <w:b/>
          <w:bCs/>
          <w:i w:val="0"/>
          <w:iCs w:val="0"/>
          <w:color w:val="auto"/>
          <w:sz w:val="22"/>
          <w:szCs w:val="22"/>
        </w:rPr>
        <w:fldChar w:fldCharType="begin"/>
      </w:r>
      <w:r w:rsidRPr="00E7428D">
        <w:rPr>
          <w:b/>
          <w:bCs/>
          <w:i w:val="0"/>
          <w:iCs w:val="0"/>
          <w:color w:val="auto"/>
          <w:sz w:val="22"/>
          <w:szCs w:val="22"/>
        </w:rPr>
        <w:instrText xml:space="preserve"> SEQ lentelė \* ARABIC </w:instrText>
      </w:r>
      <w:r w:rsidRPr="00E7428D">
        <w:rPr>
          <w:b/>
          <w:bCs/>
          <w:i w:val="0"/>
          <w:iCs w:val="0"/>
          <w:color w:val="auto"/>
          <w:sz w:val="22"/>
          <w:szCs w:val="22"/>
        </w:rPr>
        <w:fldChar w:fldCharType="separate"/>
      </w:r>
      <w:r w:rsidR="000A4091">
        <w:rPr>
          <w:b/>
          <w:bCs/>
          <w:i w:val="0"/>
          <w:iCs w:val="0"/>
          <w:noProof/>
          <w:color w:val="auto"/>
          <w:sz w:val="22"/>
          <w:szCs w:val="22"/>
        </w:rPr>
        <w:t>3</w:t>
      </w:r>
      <w:r w:rsidRPr="00E7428D">
        <w:rPr>
          <w:b/>
          <w:bCs/>
          <w:i w:val="0"/>
          <w:iCs w:val="0"/>
          <w:color w:val="auto"/>
          <w:sz w:val="22"/>
          <w:szCs w:val="22"/>
        </w:rPr>
        <w:fldChar w:fldCharType="end"/>
      </w:r>
      <w:r w:rsidRPr="00E7428D">
        <w:rPr>
          <w:b/>
          <w:bCs/>
          <w:i w:val="0"/>
          <w:iCs w:val="0"/>
          <w:color w:val="auto"/>
          <w:sz w:val="22"/>
          <w:szCs w:val="22"/>
        </w:rPr>
        <w:t xml:space="preserve"> </w:t>
      </w:r>
      <w:r w:rsidR="00E316F9" w:rsidRPr="00E7428D">
        <w:rPr>
          <w:b/>
          <w:bCs/>
          <w:i w:val="0"/>
          <w:iCs w:val="0"/>
          <w:color w:val="auto"/>
          <w:sz w:val="22"/>
          <w:szCs w:val="22"/>
        </w:rPr>
        <w:t xml:space="preserve">lentelė. </w:t>
      </w:r>
      <w:r w:rsidR="00E316F9" w:rsidRPr="00E7428D">
        <w:rPr>
          <w:i w:val="0"/>
          <w:iCs w:val="0"/>
          <w:color w:val="auto"/>
          <w:sz w:val="22"/>
          <w:szCs w:val="22"/>
        </w:rPr>
        <w:t>Horizontalieji principai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6095"/>
      </w:tblGrid>
      <w:tr w:rsidR="00F15D0E" w:rsidRPr="00AC3459" w14:paraId="5080DF31" w14:textId="77777777" w:rsidTr="00F5515C">
        <w:trPr>
          <w:trHeight w:val="520"/>
        </w:trPr>
        <w:tc>
          <w:tcPr>
            <w:tcW w:w="704" w:type="dxa"/>
            <w:shd w:val="pct10" w:color="auto" w:fill="auto"/>
          </w:tcPr>
          <w:p w14:paraId="5080DF2D" w14:textId="77777777" w:rsidR="00F15D0E" w:rsidRPr="00AC3459" w:rsidRDefault="008E1E76" w:rsidP="001110F2">
            <w:pPr>
              <w:spacing w:line="276" w:lineRule="auto"/>
              <w:jc w:val="center"/>
              <w:rPr>
                <w:b/>
                <w:sz w:val="22"/>
                <w:szCs w:val="18"/>
              </w:rPr>
            </w:pPr>
            <w:r w:rsidRPr="00AC3459">
              <w:rPr>
                <w:b/>
                <w:sz w:val="22"/>
                <w:szCs w:val="18"/>
              </w:rPr>
              <w:t>Eil. Nr.</w:t>
            </w:r>
          </w:p>
        </w:tc>
        <w:tc>
          <w:tcPr>
            <w:tcW w:w="2410" w:type="dxa"/>
            <w:shd w:val="pct10" w:color="auto" w:fill="auto"/>
          </w:tcPr>
          <w:p w14:paraId="5080DF2E" w14:textId="77777777" w:rsidR="00F15D0E" w:rsidRPr="00AC3459" w:rsidRDefault="008E1E76" w:rsidP="001110F2">
            <w:pPr>
              <w:spacing w:line="276" w:lineRule="auto"/>
              <w:jc w:val="center"/>
              <w:rPr>
                <w:b/>
                <w:sz w:val="22"/>
                <w:szCs w:val="18"/>
              </w:rPr>
            </w:pPr>
            <w:r w:rsidRPr="00AC3459">
              <w:rPr>
                <w:b/>
                <w:sz w:val="22"/>
                <w:szCs w:val="18"/>
              </w:rPr>
              <w:t>Horizontalieji principai (toliau – HP)</w:t>
            </w:r>
          </w:p>
        </w:tc>
        <w:tc>
          <w:tcPr>
            <w:tcW w:w="6095" w:type="dxa"/>
            <w:shd w:val="pct10" w:color="auto" w:fill="auto"/>
          </w:tcPr>
          <w:p w14:paraId="5080DF2F" w14:textId="77777777" w:rsidR="00F15D0E" w:rsidRPr="00AC3459" w:rsidRDefault="008E1E76" w:rsidP="001110F2">
            <w:pPr>
              <w:spacing w:line="276" w:lineRule="auto"/>
              <w:jc w:val="center"/>
              <w:rPr>
                <w:b/>
                <w:sz w:val="22"/>
                <w:szCs w:val="18"/>
              </w:rPr>
            </w:pPr>
            <w:r w:rsidRPr="00AC3459">
              <w:rPr>
                <w:b/>
                <w:sz w:val="22"/>
                <w:szCs w:val="18"/>
              </w:rPr>
              <w:t>Informacija apie pažangos priemonės prisidėjimą prie HP</w:t>
            </w:r>
          </w:p>
          <w:p w14:paraId="5080DF30" w14:textId="77777777" w:rsidR="00F15D0E" w:rsidRPr="00AC3459" w:rsidRDefault="00F15D0E" w:rsidP="001110F2">
            <w:pPr>
              <w:spacing w:line="276" w:lineRule="auto"/>
              <w:ind w:firstLine="567"/>
              <w:jc w:val="center"/>
              <w:rPr>
                <w:b/>
                <w:sz w:val="22"/>
                <w:szCs w:val="18"/>
              </w:rPr>
            </w:pPr>
          </w:p>
        </w:tc>
      </w:tr>
      <w:tr w:rsidR="00F5515C" w:rsidRPr="00AC3459" w14:paraId="5080DF35" w14:textId="77777777" w:rsidTr="00F5515C">
        <w:tc>
          <w:tcPr>
            <w:tcW w:w="704" w:type="dxa"/>
          </w:tcPr>
          <w:p w14:paraId="5080DF32" w14:textId="77777777" w:rsidR="00F5515C" w:rsidRPr="00AC3459" w:rsidRDefault="00F5515C" w:rsidP="001110F2">
            <w:pPr>
              <w:spacing w:line="276" w:lineRule="auto"/>
              <w:jc w:val="both"/>
              <w:rPr>
                <w:sz w:val="22"/>
                <w:szCs w:val="18"/>
              </w:rPr>
            </w:pPr>
            <w:r w:rsidRPr="00AC3459">
              <w:rPr>
                <w:sz w:val="22"/>
                <w:szCs w:val="18"/>
              </w:rPr>
              <w:t>1.</w:t>
            </w:r>
          </w:p>
        </w:tc>
        <w:tc>
          <w:tcPr>
            <w:tcW w:w="2410" w:type="dxa"/>
          </w:tcPr>
          <w:p w14:paraId="5080DF33" w14:textId="77777777" w:rsidR="00F5515C" w:rsidRPr="00AC3459" w:rsidRDefault="00F5515C" w:rsidP="001110F2">
            <w:pPr>
              <w:spacing w:line="276" w:lineRule="auto"/>
              <w:jc w:val="both"/>
              <w:rPr>
                <w:sz w:val="22"/>
                <w:szCs w:val="18"/>
              </w:rPr>
            </w:pPr>
            <w:r w:rsidRPr="00AC3459">
              <w:rPr>
                <w:sz w:val="22"/>
                <w:szCs w:val="18"/>
              </w:rPr>
              <w:t>Darnaus vystymosi</w:t>
            </w:r>
          </w:p>
        </w:tc>
        <w:tc>
          <w:tcPr>
            <w:tcW w:w="6095" w:type="dxa"/>
          </w:tcPr>
          <w:p w14:paraId="34729639" w14:textId="6EA69FE1" w:rsidR="003561CB" w:rsidRPr="00AC3459" w:rsidRDefault="00AA7CB1" w:rsidP="001110F2">
            <w:pPr>
              <w:spacing w:line="276" w:lineRule="auto"/>
              <w:jc w:val="both"/>
              <w:rPr>
                <w:iCs/>
                <w:sz w:val="22"/>
                <w:szCs w:val="18"/>
              </w:rPr>
            </w:pPr>
            <w:r w:rsidRPr="00AC3459">
              <w:rPr>
                <w:iCs/>
                <w:sz w:val="22"/>
                <w:szCs w:val="18"/>
              </w:rPr>
              <w:t>Pažangos priemone</w:t>
            </w:r>
            <w:r w:rsidR="007D4C33">
              <w:rPr>
                <w:iCs/>
                <w:sz w:val="22"/>
                <w:szCs w:val="18"/>
              </w:rPr>
              <w:t xml:space="preserve"> </w:t>
            </w:r>
            <w:r w:rsidRPr="00AC3459">
              <w:rPr>
                <w:iCs/>
                <w:sz w:val="22"/>
                <w:szCs w:val="18"/>
              </w:rPr>
              <w:t xml:space="preserve">prisidedama prie </w:t>
            </w:r>
            <w:r w:rsidR="00561F87" w:rsidRPr="00AC3459">
              <w:rPr>
                <w:iCs/>
                <w:sz w:val="22"/>
                <w:szCs w:val="18"/>
              </w:rPr>
              <w:t>Darnaus vystymosi</w:t>
            </w:r>
            <w:r w:rsidRPr="00AC3459">
              <w:rPr>
                <w:iCs/>
                <w:sz w:val="22"/>
                <w:szCs w:val="18"/>
              </w:rPr>
              <w:t xml:space="preserve"> horizontaliojo principo ir</w:t>
            </w:r>
            <w:r w:rsidR="00991366" w:rsidRPr="00AC3459">
              <w:rPr>
                <w:iCs/>
                <w:sz w:val="22"/>
                <w:szCs w:val="18"/>
              </w:rPr>
              <w:t xml:space="preserve"> 3-io „Užtikrinti sveiką gyvenseną ir skatinti visų amžiaus grupių gerovę“, 4-o „Užtikrinti visa apimantį ir lygiavertį kokybišką švietimą ir skatinti visą gyvenimą trunkantį mokymąsi“, 8-o „Skatinti tvarų, įtraukų ir darnų ekonomikos augimą, našų užimtumą ir deramą darbą“ ir</w:t>
            </w:r>
            <w:r w:rsidRPr="00AC3459">
              <w:rPr>
                <w:iCs/>
                <w:sz w:val="22"/>
                <w:szCs w:val="18"/>
              </w:rPr>
              <w:t xml:space="preserve"> </w:t>
            </w:r>
            <w:r w:rsidR="00394139" w:rsidRPr="00AC3459">
              <w:rPr>
                <w:iCs/>
                <w:sz w:val="22"/>
                <w:szCs w:val="18"/>
              </w:rPr>
              <w:t>11</w:t>
            </w:r>
            <w:r w:rsidRPr="00AC3459">
              <w:rPr>
                <w:iCs/>
                <w:sz w:val="22"/>
                <w:szCs w:val="18"/>
              </w:rPr>
              <w:t>-o darnaus vystymosi tikslo  „</w:t>
            </w:r>
            <w:r w:rsidR="00394139" w:rsidRPr="00AC3459">
              <w:rPr>
                <w:iCs/>
                <w:sz w:val="22"/>
                <w:szCs w:val="18"/>
              </w:rPr>
              <w:t>Pasiekti, kad miestai ir gyvenvietės taptų įtraukūs, saugūs, atsparūs ir darnūs</w:t>
            </w:r>
            <w:r w:rsidRPr="00AC3459">
              <w:rPr>
                <w:iCs/>
                <w:sz w:val="22"/>
                <w:szCs w:val="18"/>
              </w:rPr>
              <w:t xml:space="preserve">“ įgyvendinimo. </w:t>
            </w:r>
          </w:p>
          <w:p w14:paraId="5080DF34" w14:textId="252D224B" w:rsidR="000B1575" w:rsidRPr="00AC3459" w:rsidRDefault="00AA7CB1" w:rsidP="000B1575">
            <w:pPr>
              <w:spacing w:line="276" w:lineRule="auto"/>
              <w:jc w:val="both"/>
              <w:rPr>
                <w:iCs/>
                <w:sz w:val="22"/>
                <w:szCs w:val="18"/>
              </w:rPr>
            </w:pPr>
            <w:r w:rsidRPr="00AC3459">
              <w:rPr>
                <w:iCs/>
                <w:sz w:val="22"/>
                <w:szCs w:val="18"/>
              </w:rPr>
              <w:t>Įgyvendinant projekt</w:t>
            </w:r>
            <w:r w:rsidR="003561CB" w:rsidRPr="00AC3459">
              <w:rPr>
                <w:iCs/>
                <w:sz w:val="22"/>
                <w:szCs w:val="18"/>
              </w:rPr>
              <w:t>us</w:t>
            </w:r>
            <w:r w:rsidR="00845994" w:rsidRPr="00AC3459">
              <w:rPr>
                <w:iCs/>
                <w:sz w:val="22"/>
                <w:szCs w:val="18"/>
              </w:rPr>
              <w:t xml:space="preserve"> siekiama mažinti vietų trūkumą ikimokyklinėse įstaigose bei didinti sveikatos paslaugų prieinamumą, taip užtikrinant efektyvų ir tolygų viešųjų paslaugų išdėstymą, kokybę,</w:t>
            </w:r>
            <w:r w:rsidR="00845994" w:rsidRPr="00AC3459">
              <w:rPr>
                <w:sz w:val="22"/>
                <w:szCs w:val="18"/>
              </w:rPr>
              <w:t xml:space="preserve"> </w:t>
            </w:r>
            <w:r w:rsidR="00845994" w:rsidRPr="00AC3459">
              <w:rPr>
                <w:iCs/>
                <w:sz w:val="22"/>
                <w:szCs w:val="18"/>
              </w:rPr>
              <w:t>vietų trūkumo ikimokyklinėse įstaigose mažinimą bei sveikatos paslaugų prieinamumo didinimą.</w:t>
            </w:r>
            <w:r w:rsidR="000B1575" w:rsidRPr="00AC3459">
              <w:rPr>
                <w:iCs/>
                <w:sz w:val="22"/>
                <w:szCs w:val="18"/>
              </w:rPr>
              <w:t xml:space="preserve"> Išnaudojant viešųjų erdvių, tinkamų konversijai, potencialą, kuriant (atnaujinant) žaliąsias erdves, bus siekiama prisidėti prie efektyvesnio klimato kaitos poveikio mažinimo, aplinkos užterštumo dėl augančios urbanizacijos stabdymo ir augančių energijos resursų grėsmės mažinimo. </w:t>
            </w:r>
          </w:p>
        </w:tc>
      </w:tr>
      <w:tr w:rsidR="00F5515C" w:rsidRPr="00AC3459" w14:paraId="5080DF3D" w14:textId="77777777" w:rsidTr="00F5515C">
        <w:tc>
          <w:tcPr>
            <w:tcW w:w="704" w:type="dxa"/>
          </w:tcPr>
          <w:p w14:paraId="5080DF3A" w14:textId="306D1D0E" w:rsidR="00F5515C" w:rsidRPr="00AC3459" w:rsidRDefault="00AE695C" w:rsidP="001110F2">
            <w:pPr>
              <w:spacing w:line="276" w:lineRule="auto"/>
              <w:jc w:val="both"/>
              <w:rPr>
                <w:sz w:val="22"/>
                <w:szCs w:val="18"/>
              </w:rPr>
            </w:pPr>
            <w:r w:rsidRPr="00AC3459">
              <w:rPr>
                <w:sz w:val="22"/>
                <w:szCs w:val="18"/>
              </w:rPr>
              <w:t>2</w:t>
            </w:r>
            <w:r w:rsidR="00F5515C" w:rsidRPr="00AC3459">
              <w:rPr>
                <w:sz w:val="22"/>
                <w:szCs w:val="18"/>
              </w:rPr>
              <w:t>.</w:t>
            </w:r>
          </w:p>
        </w:tc>
        <w:tc>
          <w:tcPr>
            <w:tcW w:w="2410" w:type="dxa"/>
          </w:tcPr>
          <w:p w14:paraId="5080DF3B" w14:textId="77777777" w:rsidR="00F5515C" w:rsidRPr="00AC3459" w:rsidRDefault="00F5515C" w:rsidP="001110F2">
            <w:pPr>
              <w:spacing w:line="276" w:lineRule="auto"/>
              <w:jc w:val="both"/>
              <w:rPr>
                <w:sz w:val="22"/>
                <w:szCs w:val="18"/>
              </w:rPr>
            </w:pPr>
            <w:r w:rsidRPr="00AC3459">
              <w:rPr>
                <w:sz w:val="22"/>
                <w:szCs w:val="18"/>
              </w:rPr>
              <w:t xml:space="preserve">Lygių galimybių visiems </w:t>
            </w:r>
          </w:p>
        </w:tc>
        <w:tc>
          <w:tcPr>
            <w:tcW w:w="6095" w:type="dxa"/>
          </w:tcPr>
          <w:p w14:paraId="2A40E32E" w14:textId="4540DD49" w:rsidR="00F5515C" w:rsidRPr="00AC3459" w:rsidRDefault="00F5515C" w:rsidP="001110F2">
            <w:pPr>
              <w:spacing w:line="276" w:lineRule="auto"/>
              <w:jc w:val="both"/>
              <w:rPr>
                <w:sz w:val="22"/>
                <w:szCs w:val="18"/>
              </w:rPr>
            </w:pPr>
            <w:r w:rsidRPr="00AC3459">
              <w:rPr>
                <w:sz w:val="22"/>
                <w:szCs w:val="18"/>
              </w:rPr>
              <w:t xml:space="preserve">Pažangos priemonės veiklų rezultatai </w:t>
            </w:r>
            <w:r w:rsidR="003B50EA" w:rsidRPr="00AC3459">
              <w:rPr>
                <w:sz w:val="22"/>
                <w:szCs w:val="18"/>
              </w:rPr>
              <w:t>turės įtakos</w:t>
            </w:r>
            <w:r w:rsidRPr="00AC3459">
              <w:rPr>
                <w:sz w:val="22"/>
                <w:szCs w:val="18"/>
              </w:rPr>
              <w:t xml:space="preserve"> visiems asmenims, nepriklausomai nuo jų lyties, rasės, tautybės, pilietybės, kalbos, kilmės, socialinės padėties, tikėjimo, įsitikinimų ar pažiūrų, amžiaus, negalios, lytinės orientacijos, etninės priklausomybės, religijos ar kt.</w:t>
            </w:r>
          </w:p>
          <w:p w14:paraId="5080DF3C" w14:textId="51A8BA39" w:rsidR="00F5515C" w:rsidRPr="00AC3459" w:rsidRDefault="00F5515C" w:rsidP="001110F2">
            <w:pPr>
              <w:spacing w:line="276" w:lineRule="auto"/>
              <w:jc w:val="both"/>
              <w:rPr>
                <w:i/>
                <w:sz w:val="22"/>
                <w:szCs w:val="18"/>
              </w:rPr>
            </w:pPr>
            <w:r w:rsidRPr="00AC3459">
              <w:rPr>
                <w:sz w:val="22"/>
                <w:szCs w:val="18"/>
              </w:rPr>
              <w:t>Projekt</w:t>
            </w:r>
            <w:r w:rsidR="000B1575" w:rsidRPr="00AC3459">
              <w:rPr>
                <w:sz w:val="22"/>
                <w:szCs w:val="18"/>
              </w:rPr>
              <w:t>uose</w:t>
            </w:r>
            <w:r w:rsidRPr="00AC3459">
              <w:rPr>
                <w:sz w:val="22"/>
                <w:szCs w:val="18"/>
              </w:rPr>
              <w:t xml:space="preserve"> </w:t>
            </w:r>
            <w:r w:rsidR="000B1575" w:rsidRPr="00AC3459">
              <w:rPr>
                <w:sz w:val="22"/>
                <w:szCs w:val="18"/>
              </w:rPr>
              <w:t>nėra</w:t>
            </w:r>
            <w:r w:rsidRPr="00AC3459">
              <w:rPr>
                <w:sz w:val="22"/>
                <w:szCs w:val="18"/>
              </w:rPr>
              <w:t xml:space="preserve"> numatyta apribojimų, kurie turėtų neigiamą poveikį įgyvendinant moterų ir vyrų lygybės ir </w:t>
            </w:r>
            <w:r w:rsidRPr="00AC3459">
              <w:rPr>
                <w:sz w:val="22"/>
                <w:szCs w:val="18"/>
                <w:lang w:eastAsia="lt-LT"/>
              </w:rPr>
              <w:t xml:space="preserve">nediskriminavimo dėl </w:t>
            </w:r>
            <w:r w:rsidRPr="00AC3459">
              <w:rPr>
                <w:rStyle w:val="normaltextrun"/>
                <w:sz w:val="22"/>
                <w:szCs w:val="18"/>
              </w:rPr>
              <w:t xml:space="preserve">lyties, rasės, tautybės, pilietybės, kalbos, kilmės, etninės priklausomybės, religijos ar įsitikinimų, tikėjimo, pažiūrų, negalios, sveikatos būklės, socialinės padėties, amžiaus, lytinės orientacijos ir kitais pagrindais principus. </w:t>
            </w:r>
            <w:r w:rsidRPr="00AC3459">
              <w:rPr>
                <w:sz w:val="22"/>
                <w:szCs w:val="18"/>
              </w:rPr>
              <w:t xml:space="preserve"> </w:t>
            </w:r>
          </w:p>
        </w:tc>
      </w:tr>
    </w:tbl>
    <w:p w14:paraId="06BF5446" w14:textId="77777777" w:rsidR="003B50EA" w:rsidRDefault="003B50EA" w:rsidP="00DA3957">
      <w:pPr>
        <w:spacing w:line="276" w:lineRule="auto"/>
      </w:pPr>
    </w:p>
    <w:p w14:paraId="5080DF3F" w14:textId="33195856"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VII SKYRIUS</w:t>
      </w:r>
    </w:p>
    <w:p w14:paraId="5080DF40" w14:textId="36BB32B7" w:rsidR="00F15D0E" w:rsidRDefault="008E1E76" w:rsidP="00EB701E">
      <w:pPr>
        <w:pStyle w:val="Heading1"/>
        <w:spacing w:before="0"/>
        <w:jc w:val="center"/>
      </w:pPr>
      <w:r w:rsidRPr="00EB701E">
        <w:rPr>
          <w:rFonts w:ascii="Times New Roman" w:hAnsi="Times New Roman" w:cs="Times New Roman"/>
          <w:b/>
          <w:bCs/>
          <w:color w:val="auto"/>
          <w:sz w:val="24"/>
          <w:szCs w:val="24"/>
        </w:rPr>
        <w:t>IŠANKSTINĖS SĄLYGOS</w:t>
      </w:r>
    </w:p>
    <w:p w14:paraId="5080DF41" w14:textId="77777777" w:rsidR="00F15D0E" w:rsidRDefault="00F15D0E" w:rsidP="001110F2">
      <w:pPr>
        <w:spacing w:line="276" w:lineRule="auto"/>
        <w:ind w:firstLine="567"/>
        <w:jc w:val="both"/>
      </w:pPr>
    </w:p>
    <w:p w14:paraId="6B05929D" w14:textId="6D225769" w:rsidR="00C0330D" w:rsidRDefault="00C0330D" w:rsidP="001110F2">
      <w:pPr>
        <w:spacing w:line="276" w:lineRule="auto"/>
        <w:ind w:firstLine="851"/>
        <w:jc w:val="both"/>
        <w:rPr>
          <w:iCs/>
          <w:szCs w:val="24"/>
        </w:rPr>
      </w:pPr>
      <w:r>
        <w:rPr>
          <w:iCs/>
          <w:szCs w:val="24"/>
        </w:rPr>
        <w:t>Šia pažangos priemone prisidedama prie regioninė</w:t>
      </w:r>
      <w:r w:rsidR="00897A5A">
        <w:rPr>
          <w:iCs/>
          <w:szCs w:val="24"/>
        </w:rPr>
        <w:t>s</w:t>
      </w:r>
      <w:r>
        <w:rPr>
          <w:iCs/>
          <w:szCs w:val="24"/>
        </w:rPr>
        <w:t xml:space="preserve"> pažangos</w:t>
      </w:r>
      <w:r w:rsidR="00F623C4">
        <w:rPr>
          <w:iCs/>
          <w:szCs w:val="24"/>
        </w:rPr>
        <w:t xml:space="preserve"> </w:t>
      </w:r>
      <w:r w:rsidR="00897A5A">
        <w:rPr>
          <w:iCs/>
          <w:szCs w:val="24"/>
        </w:rPr>
        <w:t xml:space="preserve">priemonės </w:t>
      </w:r>
      <w:r w:rsidR="00F623C4" w:rsidRPr="00507A07">
        <w:rPr>
          <w:szCs w:val="24"/>
        </w:rPr>
        <w:t xml:space="preserve">Nr. </w:t>
      </w:r>
      <w:r w:rsidR="00225288" w:rsidRPr="00225288">
        <w:rPr>
          <w:szCs w:val="24"/>
        </w:rPr>
        <w:t xml:space="preserve">01-004-07-02-01 (RE) </w:t>
      </w:r>
      <w:r w:rsidR="00F623C4" w:rsidRPr="00507A07">
        <w:rPr>
          <w:szCs w:val="24"/>
        </w:rPr>
        <w:t>„</w:t>
      </w:r>
      <w:r w:rsidR="00225288" w:rsidRPr="00225288">
        <w:rPr>
          <w:szCs w:val="24"/>
        </w:rPr>
        <w:t>Pagerinti viešųjų paslaugų prieinamumą, darbo vietų pasiekiamumą ir tam reikalingų išteklių naudojimo efektyvumą</w:t>
      </w:r>
      <w:r w:rsidR="00F623C4" w:rsidRPr="00507A07">
        <w:rPr>
          <w:szCs w:val="24"/>
        </w:rPr>
        <w:t>“</w:t>
      </w:r>
      <w:r w:rsidR="00225288">
        <w:rPr>
          <w:szCs w:val="24"/>
        </w:rPr>
        <w:t xml:space="preserve"> </w:t>
      </w:r>
      <w:r>
        <w:rPr>
          <w:iCs/>
          <w:szCs w:val="24"/>
        </w:rPr>
        <w:t xml:space="preserve">įgyvendinimo ir </w:t>
      </w:r>
      <w:r w:rsidR="003E604D">
        <w:rPr>
          <w:iCs/>
          <w:szCs w:val="24"/>
        </w:rPr>
        <w:t>jai</w:t>
      </w:r>
      <w:r>
        <w:rPr>
          <w:iCs/>
          <w:szCs w:val="24"/>
        </w:rPr>
        <w:t xml:space="preserve"> priskirto poveikio </w:t>
      </w:r>
      <w:r w:rsidRPr="00A43FE7">
        <w:rPr>
          <w:iCs/>
          <w:szCs w:val="24"/>
        </w:rPr>
        <w:t>rodiklio „</w:t>
      </w:r>
      <w:r w:rsidR="00863094" w:rsidRPr="00863094">
        <w:rPr>
          <w:iCs/>
          <w:szCs w:val="24"/>
        </w:rPr>
        <w:t>Asmenys, patiriantys skurdo riziką ar socialinę atskirtį</w:t>
      </w:r>
      <w:r w:rsidRPr="00A43FE7">
        <w:rPr>
          <w:iCs/>
          <w:szCs w:val="24"/>
        </w:rPr>
        <w:t>“</w:t>
      </w:r>
      <w:r>
        <w:rPr>
          <w:iCs/>
          <w:szCs w:val="24"/>
        </w:rPr>
        <w:t xml:space="preserve"> reikšmės pasiekimo. </w:t>
      </w:r>
    </w:p>
    <w:p w14:paraId="104BF970" w14:textId="2DA31C9E" w:rsidR="00C6708F" w:rsidRDefault="00C0330D" w:rsidP="00C6708F">
      <w:pPr>
        <w:spacing w:line="276" w:lineRule="auto"/>
        <w:ind w:firstLine="851"/>
        <w:jc w:val="both"/>
        <w:rPr>
          <w:iCs/>
          <w:szCs w:val="24"/>
        </w:rPr>
      </w:pPr>
      <w:r>
        <w:rPr>
          <w:iCs/>
          <w:szCs w:val="24"/>
        </w:rPr>
        <w:t>N</w:t>
      </w:r>
      <w:r w:rsidR="00F5515C">
        <w:rPr>
          <w:iCs/>
          <w:szCs w:val="24"/>
        </w:rPr>
        <w:t>urodytam</w:t>
      </w:r>
      <w:r w:rsidR="00F5515C" w:rsidRPr="002C3F9D">
        <w:rPr>
          <w:iCs/>
          <w:szCs w:val="24"/>
        </w:rPr>
        <w:t xml:space="preserve"> poveikio rodikliui priskirta išankstinė sąlyga – </w:t>
      </w:r>
      <w:r w:rsidR="00C6708F">
        <w:rPr>
          <w:iCs/>
          <w:szCs w:val="24"/>
        </w:rPr>
        <w:t>p</w:t>
      </w:r>
      <w:r w:rsidR="00C6708F" w:rsidRPr="00C6708F">
        <w:rPr>
          <w:iCs/>
          <w:szCs w:val="24"/>
        </w:rPr>
        <w:t>atvirtintos teritorinės strategijos, atitinkančios Europos Parlamento ir Tarybos reglamento (ES) 2021/1060, kuriuo nustatomos bendros Europos regioninės plėtros fondo, „Europos socialinio fondo +“, Sanglaudos fondo, Teisingos pertvarkos fondo ir</w:t>
      </w:r>
      <w:r w:rsidR="00C6708F">
        <w:rPr>
          <w:iCs/>
          <w:szCs w:val="24"/>
        </w:rPr>
        <w:t xml:space="preserve"> </w:t>
      </w:r>
      <w:r w:rsidR="00C6708F" w:rsidRPr="00C6708F">
        <w:rPr>
          <w:iCs/>
          <w:szCs w:val="24"/>
        </w:rPr>
        <w:t xml:space="preserve">Europos jūrų reikalų, žvejybos ir akvakultūros fondo nuostatos ir šių fondų bei </w:t>
      </w:r>
      <w:r w:rsidR="00C6708F" w:rsidRPr="00C6708F">
        <w:rPr>
          <w:iCs/>
          <w:szCs w:val="24"/>
        </w:rPr>
        <w:lastRenderedPageBreak/>
        <w:t>Prieglobsčio, migracijos ir integracijos fondo, Vidaus saugumo fondo ir Sienų valdymo ir vizų politikos finansinės paramos priemonės taisyklės (Bendrųjų nuostatų reglamento), 29 straipsnio reikalavimus ir patvirtintose regionų plėtros planų pažangos priemonėse yra numatytos veiklos šioms strategijoms įgyvendinti.</w:t>
      </w:r>
    </w:p>
    <w:p w14:paraId="69A49D3A" w14:textId="2FE0CC76" w:rsidR="00F5515C" w:rsidRPr="00A3210A" w:rsidRDefault="00C6708F" w:rsidP="00A3210A">
      <w:pPr>
        <w:spacing w:line="276" w:lineRule="auto"/>
        <w:ind w:firstLine="851"/>
        <w:jc w:val="both"/>
        <w:rPr>
          <w:iCs/>
          <w:szCs w:val="24"/>
        </w:rPr>
      </w:pPr>
      <w:r>
        <w:rPr>
          <w:iCs/>
          <w:szCs w:val="24"/>
        </w:rPr>
        <w:t xml:space="preserve">Išankstinė sąlyga įgyvendinta – Tvarios Klaipėdos miesto plėtros 2023–2029 metų strategija patvirtinta </w:t>
      </w:r>
      <w:r w:rsidRPr="00C6708F">
        <w:rPr>
          <w:iCs/>
          <w:szCs w:val="24"/>
        </w:rPr>
        <w:t>Klaipėdos miesto savivaldybės tarybos 2023 m. gruodžio 21 d. sprendim</w:t>
      </w:r>
      <w:r w:rsidR="001972C9">
        <w:rPr>
          <w:iCs/>
          <w:szCs w:val="24"/>
        </w:rPr>
        <w:t>u</w:t>
      </w:r>
      <w:r w:rsidRPr="00C6708F">
        <w:rPr>
          <w:iCs/>
          <w:szCs w:val="24"/>
        </w:rPr>
        <w:t xml:space="preserve"> Nr. T2-353 „Dėl Tvarios Klaipėdos miesto plėtros 2023–2029 metų strategijos patvirtinimo“</w:t>
      </w:r>
      <w:r w:rsidR="001972C9">
        <w:rPr>
          <w:iCs/>
          <w:szCs w:val="24"/>
        </w:rPr>
        <w:t xml:space="preserve"> ir </w:t>
      </w:r>
      <w:r w:rsidRPr="00C6708F">
        <w:rPr>
          <w:iCs/>
          <w:szCs w:val="24"/>
        </w:rPr>
        <w:t>Klaipėdos rajono savivaldybės tarybos 2023 m. gruodžio 21 d. sprendim</w:t>
      </w:r>
      <w:r w:rsidR="001972C9">
        <w:rPr>
          <w:iCs/>
          <w:szCs w:val="24"/>
        </w:rPr>
        <w:t>u</w:t>
      </w:r>
      <w:r w:rsidRPr="00C6708F">
        <w:rPr>
          <w:iCs/>
          <w:szCs w:val="24"/>
        </w:rPr>
        <w:t xml:space="preserve"> Nr. T11-419 „Dėl Tvarios Klaipėdos miesto plėtros 2023–2029 metų strategijos patvirtinimo“</w:t>
      </w:r>
      <w:r w:rsidR="001972C9">
        <w:rPr>
          <w:iCs/>
          <w:szCs w:val="24"/>
        </w:rPr>
        <w:t xml:space="preserve">. </w:t>
      </w:r>
    </w:p>
    <w:p w14:paraId="0B60B0C0" w14:textId="77777777" w:rsidR="00C0330D" w:rsidRPr="00B83A40" w:rsidRDefault="00C0330D" w:rsidP="001110F2">
      <w:pPr>
        <w:spacing w:line="276" w:lineRule="auto"/>
        <w:jc w:val="both"/>
        <w:rPr>
          <w:color w:val="000000" w:themeColor="text1"/>
          <w:szCs w:val="24"/>
        </w:rPr>
        <w:sectPr w:rsidR="00C0330D" w:rsidRPr="00B83A40" w:rsidSect="007F50C2">
          <w:headerReference w:type="even" r:id="rId11"/>
          <w:headerReference w:type="default" r:id="rId12"/>
          <w:footerReference w:type="even" r:id="rId13"/>
          <w:footerReference w:type="default" r:id="rId14"/>
          <w:footerReference w:type="first" r:id="rId15"/>
          <w:pgSz w:w="11906" w:h="16838"/>
          <w:pgMar w:top="1418" w:right="567" w:bottom="1134" w:left="1701" w:header="567" w:footer="567" w:gutter="0"/>
          <w:pgNumType w:start="1"/>
          <w:cols w:space="1296"/>
          <w:titlePg/>
          <w:docGrid w:linePitch="360"/>
        </w:sectPr>
      </w:pPr>
    </w:p>
    <w:p w14:paraId="5080DF44" w14:textId="000F1BD0"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lastRenderedPageBreak/>
        <w:t>VIII SKYRIUS</w:t>
      </w:r>
    </w:p>
    <w:p w14:paraId="5080DF45" w14:textId="27E0D908" w:rsidR="00F15D0E" w:rsidRPr="00EB701E" w:rsidRDefault="008E1E76" w:rsidP="00EB701E">
      <w:pPr>
        <w:pStyle w:val="Heading1"/>
        <w:spacing w:before="0"/>
        <w:jc w:val="center"/>
        <w:rPr>
          <w:rFonts w:ascii="Times New Roman" w:hAnsi="Times New Roman" w:cs="Times New Roman"/>
          <w:b/>
          <w:bCs/>
          <w:color w:val="auto"/>
          <w:sz w:val="24"/>
          <w:szCs w:val="24"/>
        </w:rPr>
      </w:pPr>
      <w:r w:rsidRPr="00EB701E">
        <w:rPr>
          <w:rFonts w:ascii="Times New Roman" w:hAnsi="Times New Roman" w:cs="Times New Roman"/>
          <w:b/>
          <w:bCs/>
          <w:color w:val="auto"/>
          <w:sz w:val="24"/>
          <w:szCs w:val="24"/>
        </w:rPr>
        <w:t>PAŽANGOS PRIEMONĖS STEBĖSENOS RODIKLIAI</w:t>
      </w:r>
    </w:p>
    <w:p w14:paraId="5080DF49" w14:textId="77777777" w:rsidR="00F15D0E" w:rsidRDefault="00F15D0E" w:rsidP="00DA3957">
      <w:pPr>
        <w:spacing w:line="276" w:lineRule="auto"/>
        <w:jc w:val="both"/>
      </w:pPr>
    </w:p>
    <w:p w14:paraId="5080DF4A" w14:textId="640EC541" w:rsidR="00F15D0E" w:rsidRPr="007C519C" w:rsidRDefault="007C519C" w:rsidP="007C519C">
      <w:pPr>
        <w:pStyle w:val="Caption"/>
        <w:spacing w:after="40"/>
        <w:rPr>
          <w:i w:val="0"/>
          <w:iCs w:val="0"/>
          <w:color w:val="auto"/>
          <w:sz w:val="22"/>
          <w:szCs w:val="22"/>
        </w:rPr>
      </w:pPr>
      <w:r w:rsidRPr="007C519C">
        <w:rPr>
          <w:b/>
          <w:bCs/>
          <w:i w:val="0"/>
          <w:iCs w:val="0"/>
          <w:color w:val="auto"/>
          <w:sz w:val="22"/>
          <w:szCs w:val="22"/>
        </w:rPr>
        <w:fldChar w:fldCharType="begin"/>
      </w:r>
      <w:r w:rsidRPr="007C519C">
        <w:rPr>
          <w:b/>
          <w:bCs/>
          <w:i w:val="0"/>
          <w:iCs w:val="0"/>
          <w:color w:val="auto"/>
          <w:sz w:val="22"/>
          <w:szCs w:val="22"/>
        </w:rPr>
        <w:instrText xml:space="preserve"> SEQ lentelė \* ARABIC </w:instrText>
      </w:r>
      <w:r w:rsidRPr="007C519C">
        <w:rPr>
          <w:b/>
          <w:bCs/>
          <w:i w:val="0"/>
          <w:iCs w:val="0"/>
          <w:color w:val="auto"/>
          <w:sz w:val="22"/>
          <w:szCs w:val="22"/>
        </w:rPr>
        <w:fldChar w:fldCharType="separate"/>
      </w:r>
      <w:r w:rsidR="000A4091">
        <w:rPr>
          <w:b/>
          <w:bCs/>
          <w:i w:val="0"/>
          <w:iCs w:val="0"/>
          <w:noProof/>
          <w:color w:val="auto"/>
          <w:sz w:val="22"/>
          <w:szCs w:val="22"/>
        </w:rPr>
        <w:t>4</w:t>
      </w:r>
      <w:r w:rsidRPr="007C519C">
        <w:rPr>
          <w:b/>
          <w:bCs/>
          <w:i w:val="0"/>
          <w:iCs w:val="0"/>
          <w:color w:val="auto"/>
          <w:sz w:val="22"/>
          <w:szCs w:val="22"/>
        </w:rPr>
        <w:fldChar w:fldCharType="end"/>
      </w:r>
      <w:r w:rsidRPr="007C519C">
        <w:rPr>
          <w:b/>
          <w:bCs/>
          <w:i w:val="0"/>
          <w:iCs w:val="0"/>
          <w:color w:val="auto"/>
          <w:sz w:val="22"/>
          <w:szCs w:val="22"/>
        </w:rPr>
        <w:t xml:space="preserve"> l</w:t>
      </w:r>
      <w:r w:rsidR="00E316F9" w:rsidRPr="007C519C">
        <w:rPr>
          <w:b/>
          <w:bCs/>
          <w:i w:val="0"/>
          <w:iCs w:val="0"/>
          <w:color w:val="auto"/>
          <w:sz w:val="22"/>
          <w:szCs w:val="22"/>
        </w:rPr>
        <w:t xml:space="preserve">entelė. </w:t>
      </w:r>
      <w:r w:rsidR="00550F64" w:rsidRPr="007C519C">
        <w:rPr>
          <w:i w:val="0"/>
          <w:iCs w:val="0"/>
          <w:color w:val="auto"/>
          <w:sz w:val="22"/>
          <w:szCs w:val="22"/>
        </w:rPr>
        <w:t>Pažangos priemonės veiklų produkto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276"/>
        <w:gridCol w:w="1701"/>
        <w:gridCol w:w="1276"/>
        <w:gridCol w:w="1701"/>
        <w:gridCol w:w="992"/>
        <w:gridCol w:w="1134"/>
        <w:gridCol w:w="4253"/>
      </w:tblGrid>
      <w:tr w:rsidR="00F15D0E" w:rsidRPr="007C1EC1" w14:paraId="5080DF4C" w14:textId="77777777">
        <w:tc>
          <w:tcPr>
            <w:tcW w:w="14029" w:type="dxa"/>
            <w:gridSpan w:val="8"/>
            <w:tcBorders>
              <w:bottom w:val="single" w:sz="4" w:space="0" w:color="auto"/>
            </w:tcBorders>
            <w:shd w:val="pct10" w:color="auto" w:fill="auto"/>
          </w:tcPr>
          <w:p w14:paraId="5080DF4B" w14:textId="77777777" w:rsidR="00F15D0E" w:rsidRPr="007C1EC1" w:rsidRDefault="008E1E76" w:rsidP="001110F2">
            <w:pPr>
              <w:spacing w:line="276" w:lineRule="auto"/>
              <w:ind w:firstLine="567"/>
              <w:jc w:val="center"/>
              <w:rPr>
                <w:b/>
                <w:i/>
                <w:sz w:val="20"/>
              </w:rPr>
            </w:pPr>
            <w:r w:rsidRPr="007C1EC1">
              <w:rPr>
                <w:b/>
                <w:sz w:val="20"/>
              </w:rPr>
              <w:t>Pažangos priemonės veiklų produkto rodikliai</w:t>
            </w:r>
          </w:p>
        </w:tc>
      </w:tr>
      <w:tr w:rsidR="00F15D0E" w:rsidRPr="007C1EC1" w14:paraId="5080DF53" w14:textId="77777777" w:rsidTr="007C1EC1">
        <w:tc>
          <w:tcPr>
            <w:tcW w:w="1696" w:type="dxa"/>
            <w:vMerge w:val="restart"/>
            <w:shd w:val="pct10" w:color="auto" w:fill="auto"/>
            <w:vAlign w:val="center"/>
          </w:tcPr>
          <w:p w14:paraId="5080DF4D" w14:textId="77777777" w:rsidR="00F15D0E" w:rsidRPr="007C1EC1" w:rsidRDefault="008E1E76" w:rsidP="001110F2">
            <w:pPr>
              <w:spacing w:line="276" w:lineRule="auto"/>
              <w:jc w:val="center"/>
              <w:rPr>
                <w:b/>
                <w:sz w:val="20"/>
              </w:rPr>
            </w:pPr>
            <w:r w:rsidRPr="007C1EC1">
              <w:rPr>
                <w:b/>
                <w:sz w:val="20"/>
              </w:rPr>
              <w:t>Veiklos pavadinimas</w:t>
            </w:r>
          </w:p>
        </w:tc>
        <w:tc>
          <w:tcPr>
            <w:tcW w:w="1276" w:type="dxa"/>
            <w:vMerge w:val="restart"/>
            <w:shd w:val="pct10" w:color="auto" w:fill="auto"/>
            <w:vAlign w:val="center"/>
          </w:tcPr>
          <w:p w14:paraId="5080DF4E" w14:textId="77777777" w:rsidR="00F15D0E" w:rsidRPr="007C1EC1" w:rsidRDefault="008E1E76" w:rsidP="001110F2">
            <w:pPr>
              <w:spacing w:line="276" w:lineRule="auto"/>
              <w:jc w:val="center"/>
              <w:rPr>
                <w:b/>
                <w:sz w:val="20"/>
              </w:rPr>
            </w:pPr>
            <w:r w:rsidRPr="007C1EC1">
              <w:rPr>
                <w:b/>
                <w:sz w:val="20"/>
              </w:rPr>
              <w:t>Rodiklio kodas</w:t>
            </w:r>
          </w:p>
        </w:tc>
        <w:tc>
          <w:tcPr>
            <w:tcW w:w="1701" w:type="dxa"/>
            <w:vMerge w:val="restart"/>
            <w:shd w:val="pct10" w:color="auto" w:fill="auto"/>
            <w:vAlign w:val="center"/>
          </w:tcPr>
          <w:p w14:paraId="5080DF4F" w14:textId="77777777" w:rsidR="00F15D0E" w:rsidRPr="007C1EC1" w:rsidRDefault="008E1E76" w:rsidP="001110F2">
            <w:pPr>
              <w:spacing w:line="276" w:lineRule="auto"/>
              <w:jc w:val="center"/>
              <w:rPr>
                <w:b/>
                <w:sz w:val="20"/>
              </w:rPr>
            </w:pPr>
            <w:r w:rsidRPr="007C1EC1">
              <w:rPr>
                <w:b/>
                <w:sz w:val="20"/>
              </w:rPr>
              <w:t>Rodiklio pavadinimas, matavimo vienetas</w:t>
            </w:r>
          </w:p>
        </w:tc>
        <w:tc>
          <w:tcPr>
            <w:tcW w:w="2977" w:type="dxa"/>
            <w:gridSpan w:val="2"/>
            <w:shd w:val="pct10" w:color="auto" w:fill="auto"/>
            <w:vAlign w:val="center"/>
          </w:tcPr>
          <w:p w14:paraId="5080DF50" w14:textId="77777777" w:rsidR="00F15D0E" w:rsidRPr="007C1EC1" w:rsidRDefault="008E1E76" w:rsidP="001110F2">
            <w:pPr>
              <w:spacing w:line="276" w:lineRule="auto"/>
              <w:jc w:val="center"/>
              <w:rPr>
                <w:b/>
                <w:i/>
                <w:sz w:val="20"/>
              </w:rPr>
            </w:pPr>
            <w:r w:rsidRPr="007C1EC1">
              <w:rPr>
                <w:b/>
                <w:sz w:val="20"/>
              </w:rPr>
              <w:t>Rodikliui pasiekti planuojama panaudoti pažangos lėšų suma, Eur</w:t>
            </w:r>
          </w:p>
        </w:tc>
        <w:tc>
          <w:tcPr>
            <w:tcW w:w="2126" w:type="dxa"/>
            <w:gridSpan w:val="2"/>
            <w:shd w:val="pct10" w:color="auto" w:fill="auto"/>
            <w:vAlign w:val="center"/>
          </w:tcPr>
          <w:p w14:paraId="5080DF51" w14:textId="77777777" w:rsidR="00F15D0E" w:rsidRPr="007C1EC1" w:rsidRDefault="008E1E76" w:rsidP="001110F2">
            <w:pPr>
              <w:spacing w:line="276" w:lineRule="auto"/>
              <w:jc w:val="center"/>
              <w:rPr>
                <w:b/>
                <w:i/>
                <w:sz w:val="20"/>
              </w:rPr>
            </w:pPr>
            <w:r w:rsidRPr="007C1EC1">
              <w:rPr>
                <w:b/>
                <w:sz w:val="20"/>
              </w:rPr>
              <w:t>Siektinos rodiklio reikšmės</w:t>
            </w:r>
          </w:p>
        </w:tc>
        <w:tc>
          <w:tcPr>
            <w:tcW w:w="4253" w:type="dxa"/>
            <w:vMerge w:val="restart"/>
            <w:shd w:val="pct10" w:color="auto" w:fill="auto"/>
            <w:vAlign w:val="center"/>
          </w:tcPr>
          <w:p w14:paraId="5080DF52" w14:textId="77777777" w:rsidR="00F15D0E" w:rsidRPr="007C1EC1" w:rsidRDefault="008E1E76" w:rsidP="001110F2">
            <w:pPr>
              <w:spacing w:line="276" w:lineRule="auto"/>
              <w:jc w:val="center"/>
              <w:rPr>
                <w:b/>
                <w:i/>
                <w:sz w:val="20"/>
              </w:rPr>
            </w:pPr>
            <w:r w:rsidRPr="007C1EC1">
              <w:rPr>
                <w:b/>
                <w:sz w:val="20"/>
              </w:rPr>
              <w:t>Siektinos rodiklio reikšmės nustatymo pagrindimas</w:t>
            </w:r>
          </w:p>
        </w:tc>
      </w:tr>
      <w:tr w:rsidR="00F15D0E" w:rsidRPr="007C1EC1" w14:paraId="5080DF5D" w14:textId="77777777" w:rsidTr="009952DA">
        <w:tc>
          <w:tcPr>
            <w:tcW w:w="1696" w:type="dxa"/>
            <w:vMerge/>
            <w:tcBorders>
              <w:bottom w:val="single" w:sz="4" w:space="0" w:color="auto"/>
            </w:tcBorders>
            <w:shd w:val="pct10" w:color="auto" w:fill="auto"/>
          </w:tcPr>
          <w:p w14:paraId="5080DF54" w14:textId="77777777" w:rsidR="00F15D0E" w:rsidRPr="007C1EC1" w:rsidRDefault="00F15D0E" w:rsidP="001110F2">
            <w:pPr>
              <w:spacing w:line="276" w:lineRule="auto"/>
              <w:ind w:firstLine="567"/>
              <w:jc w:val="both"/>
              <w:rPr>
                <w:b/>
                <w:i/>
                <w:sz w:val="20"/>
              </w:rPr>
            </w:pPr>
          </w:p>
        </w:tc>
        <w:tc>
          <w:tcPr>
            <w:tcW w:w="1276" w:type="dxa"/>
            <w:vMerge/>
            <w:tcBorders>
              <w:bottom w:val="single" w:sz="4" w:space="0" w:color="auto"/>
            </w:tcBorders>
            <w:shd w:val="pct10" w:color="auto" w:fill="auto"/>
          </w:tcPr>
          <w:p w14:paraId="5080DF55" w14:textId="77777777" w:rsidR="00F15D0E" w:rsidRPr="007C1EC1" w:rsidRDefault="00F15D0E" w:rsidP="001110F2">
            <w:pPr>
              <w:spacing w:line="276" w:lineRule="auto"/>
              <w:ind w:firstLine="567"/>
              <w:jc w:val="both"/>
              <w:rPr>
                <w:b/>
                <w:i/>
                <w:sz w:val="20"/>
              </w:rPr>
            </w:pPr>
          </w:p>
        </w:tc>
        <w:tc>
          <w:tcPr>
            <w:tcW w:w="1701" w:type="dxa"/>
            <w:vMerge/>
            <w:tcBorders>
              <w:bottom w:val="single" w:sz="4" w:space="0" w:color="auto"/>
            </w:tcBorders>
            <w:shd w:val="pct10" w:color="auto" w:fill="auto"/>
          </w:tcPr>
          <w:p w14:paraId="5080DF56" w14:textId="77777777" w:rsidR="00F15D0E" w:rsidRPr="007C1EC1" w:rsidRDefault="00F15D0E" w:rsidP="001110F2">
            <w:pPr>
              <w:spacing w:line="276" w:lineRule="auto"/>
              <w:ind w:firstLine="567"/>
              <w:jc w:val="both"/>
              <w:rPr>
                <w:b/>
                <w:i/>
                <w:sz w:val="20"/>
              </w:rPr>
            </w:pPr>
          </w:p>
        </w:tc>
        <w:tc>
          <w:tcPr>
            <w:tcW w:w="1276" w:type="dxa"/>
            <w:tcBorders>
              <w:bottom w:val="single" w:sz="4" w:space="0" w:color="auto"/>
            </w:tcBorders>
            <w:shd w:val="pct10" w:color="auto" w:fill="auto"/>
          </w:tcPr>
          <w:p w14:paraId="5080DF57" w14:textId="77777777" w:rsidR="00F15D0E" w:rsidRPr="007C1EC1" w:rsidRDefault="008E1E76" w:rsidP="001110F2">
            <w:pPr>
              <w:spacing w:line="276" w:lineRule="auto"/>
              <w:jc w:val="center"/>
              <w:rPr>
                <w:b/>
                <w:i/>
                <w:sz w:val="20"/>
              </w:rPr>
            </w:pPr>
            <w:r w:rsidRPr="007C1EC1">
              <w:rPr>
                <w:b/>
                <w:sz w:val="20"/>
              </w:rPr>
              <w:t>Iš viso</w:t>
            </w:r>
          </w:p>
        </w:tc>
        <w:tc>
          <w:tcPr>
            <w:tcW w:w="1701" w:type="dxa"/>
            <w:tcBorders>
              <w:bottom w:val="single" w:sz="4" w:space="0" w:color="auto"/>
            </w:tcBorders>
            <w:shd w:val="pct10" w:color="auto" w:fill="auto"/>
          </w:tcPr>
          <w:p w14:paraId="5080DF58" w14:textId="77777777" w:rsidR="00F15D0E" w:rsidRPr="007C1EC1" w:rsidRDefault="008E1E76" w:rsidP="001110F2">
            <w:pPr>
              <w:spacing w:line="276" w:lineRule="auto"/>
              <w:jc w:val="center"/>
              <w:rPr>
                <w:b/>
                <w:i/>
                <w:sz w:val="20"/>
              </w:rPr>
            </w:pPr>
            <w:r w:rsidRPr="007C1EC1">
              <w:rPr>
                <w:b/>
                <w:sz w:val="20"/>
              </w:rPr>
              <w:t>Iš jų ES, kitos tarptautinės finansinės paramos ir valstybės biudžeto lėšų suma</w:t>
            </w:r>
          </w:p>
        </w:tc>
        <w:tc>
          <w:tcPr>
            <w:tcW w:w="992" w:type="dxa"/>
            <w:tcBorders>
              <w:bottom w:val="single" w:sz="4" w:space="0" w:color="auto"/>
            </w:tcBorders>
            <w:shd w:val="pct10" w:color="auto" w:fill="auto"/>
          </w:tcPr>
          <w:p w14:paraId="5080DF59" w14:textId="77777777" w:rsidR="00F15D0E" w:rsidRPr="007C1EC1" w:rsidRDefault="008E1E76" w:rsidP="001110F2">
            <w:pPr>
              <w:spacing w:line="276" w:lineRule="auto"/>
              <w:jc w:val="center"/>
              <w:rPr>
                <w:b/>
                <w:i/>
                <w:sz w:val="20"/>
              </w:rPr>
            </w:pPr>
            <w:r w:rsidRPr="007C1EC1">
              <w:rPr>
                <w:b/>
                <w:sz w:val="20"/>
              </w:rPr>
              <w:t>Tarpinė reikšmė (metai)</w:t>
            </w:r>
          </w:p>
        </w:tc>
        <w:tc>
          <w:tcPr>
            <w:tcW w:w="1134" w:type="dxa"/>
            <w:tcBorders>
              <w:bottom w:val="single" w:sz="4" w:space="0" w:color="auto"/>
            </w:tcBorders>
            <w:shd w:val="pct10" w:color="auto" w:fill="auto"/>
          </w:tcPr>
          <w:p w14:paraId="5080DF5A" w14:textId="77777777" w:rsidR="00F15D0E" w:rsidRPr="007C1EC1" w:rsidRDefault="008E1E76" w:rsidP="001110F2">
            <w:pPr>
              <w:spacing w:line="276" w:lineRule="auto"/>
              <w:jc w:val="center"/>
              <w:rPr>
                <w:b/>
                <w:sz w:val="20"/>
              </w:rPr>
            </w:pPr>
            <w:r w:rsidRPr="007C1EC1">
              <w:rPr>
                <w:b/>
                <w:sz w:val="20"/>
              </w:rPr>
              <w:t>Galutinė reikšmė (metai)</w:t>
            </w:r>
          </w:p>
          <w:p w14:paraId="5080DF5B" w14:textId="77777777" w:rsidR="00F15D0E" w:rsidRPr="007C1EC1" w:rsidRDefault="00F15D0E" w:rsidP="001110F2">
            <w:pPr>
              <w:spacing w:line="276" w:lineRule="auto"/>
              <w:ind w:firstLine="567"/>
              <w:jc w:val="center"/>
              <w:rPr>
                <w:b/>
                <w:i/>
                <w:sz w:val="20"/>
              </w:rPr>
            </w:pPr>
          </w:p>
        </w:tc>
        <w:tc>
          <w:tcPr>
            <w:tcW w:w="4253" w:type="dxa"/>
            <w:vMerge/>
            <w:tcBorders>
              <w:bottom w:val="single" w:sz="4" w:space="0" w:color="auto"/>
            </w:tcBorders>
            <w:shd w:val="pct10" w:color="auto" w:fill="auto"/>
          </w:tcPr>
          <w:p w14:paraId="5080DF5C" w14:textId="77777777" w:rsidR="00F15D0E" w:rsidRPr="007C1EC1" w:rsidRDefault="00F15D0E" w:rsidP="001110F2">
            <w:pPr>
              <w:spacing w:line="276" w:lineRule="auto"/>
              <w:ind w:firstLine="567"/>
              <w:jc w:val="both"/>
              <w:rPr>
                <w:b/>
                <w:i/>
                <w:sz w:val="20"/>
              </w:rPr>
            </w:pPr>
          </w:p>
        </w:tc>
      </w:tr>
      <w:tr w:rsidR="00F15D0E" w:rsidRPr="007C1EC1" w14:paraId="5080DF66" w14:textId="77777777" w:rsidTr="009952DA">
        <w:tc>
          <w:tcPr>
            <w:tcW w:w="1696" w:type="dxa"/>
            <w:shd w:val="pct10" w:color="auto" w:fill="auto"/>
          </w:tcPr>
          <w:p w14:paraId="5080DF5E" w14:textId="77777777" w:rsidR="00F15D0E" w:rsidRPr="007C1EC1" w:rsidRDefault="008E1E76" w:rsidP="001110F2">
            <w:pPr>
              <w:spacing w:line="276" w:lineRule="auto"/>
              <w:jc w:val="center"/>
              <w:rPr>
                <w:b/>
                <w:sz w:val="20"/>
              </w:rPr>
            </w:pPr>
            <w:r w:rsidRPr="007C1EC1">
              <w:rPr>
                <w:b/>
                <w:sz w:val="20"/>
              </w:rPr>
              <w:t>1</w:t>
            </w:r>
          </w:p>
        </w:tc>
        <w:tc>
          <w:tcPr>
            <w:tcW w:w="1276" w:type="dxa"/>
            <w:shd w:val="pct10" w:color="auto" w:fill="auto"/>
          </w:tcPr>
          <w:p w14:paraId="5080DF5F" w14:textId="77777777" w:rsidR="00F15D0E" w:rsidRPr="007C1EC1" w:rsidRDefault="008E1E76" w:rsidP="001110F2">
            <w:pPr>
              <w:spacing w:line="276" w:lineRule="auto"/>
              <w:ind w:firstLine="175"/>
              <w:jc w:val="center"/>
              <w:rPr>
                <w:b/>
                <w:sz w:val="20"/>
              </w:rPr>
            </w:pPr>
            <w:r w:rsidRPr="007C1EC1">
              <w:rPr>
                <w:b/>
                <w:sz w:val="20"/>
              </w:rPr>
              <w:t>2</w:t>
            </w:r>
          </w:p>
        </w:tc>
        <w:tc>
          <w:tcPr>
            <w:tcW w:w="1701" w:type="dxa"/>
            <w:shd w:val="pct10" w:color="auto" w:fill="auto"/>
          </w:tcPr>
          <w:p w14:paraId="5080DF60" w14:textId="77777777" w:rsidR="00F15D0E" w:rsidRPr="007C1EC1" w:rsidRDefault="008E1E76" w:rsidP="001110F2">
            <w:pPr>
              <w:spacing w:line="276" w:lineRule="auto"/>
              <w:ind w:hanging="108"/>
              <w:jc w:val="center"/>
              <w:rPr>
                <w:b/>
                <w:sz w:val="20"/>
              </w:rPr>
            </w:pPr>
            <w:r w:rsidRPr="007C1EC1">
              <w:rPr>
                <w:b/>
                <w:sz w:val="20"/>
              </w:rPr>
              <w:t>3</w:t>
            </w:r>
          </w:p>
        </w:tc>
        <w:tc>
          <w:tcPr>
            <w:tcW w:w="1276" w:type="dxa"/>
            <w:shd w:val="pct10" w:color="auto" w:fill="auto"/>
          </w:tcPr>
          <w:p w14:paraId="5080DF61" w14:textId="77777777" w:rsidR="00F15D0E" w:rsidRPr="007C1EC1" w:rsidRDefault="008E1E76" w:rsidP="001110F2">
            <w:pPr>
              <w:spacing w:line="276" w:lineRule="auto"/>
              <w:jc w:val="center"/>
              <w:rPr>
                <w:b/>
                <w:sz w:val="20"/>
              </w:rPr>
            </w:pPr>
            <w:r w:rsidRPr="007C1EC1">
              <w:rPr>
                <w:b/>
                <w:sz w:val="20"/>
              </w:rPr>
              <w:t>4</w:t>
            </w:r>
          </w:p>
        </w:tc>
        <w:tc>
          <w:tcPr>
            <w:tcW w:w="1701" w:type="dxa"/>
            <w:shd w:val="pct10" w:color="auto" w:fill="auto"/>
          </w:tcPr>
          <w:p w14:paraId="5080DF62" w14:textId="77777777" w:rsidR="00F15D0E" w:rsidRPr="007C1EC1" w:rsidRDefault="008E1E76" w:rsidP="001110F2">
            <w:pPr>
              <w:spacing w:line="276" w:lineRule="auto"/>
              <w:ind w:hanging="391"/>
              <w:jc w:val="center"/>
              <w:rPr>
                <w:b/>
                <w:sz w:val="20"/>
              </w:rPr>
            </w:pPr>
            <w:r w:rsidRPr="007C1EC1">
              <w:rPr>
                <w:b/>
                <w:sz w:val="20"/>
              </w:rPr>
              <w:t>5</w:t>
            </w:r>
          </w:p>
        </w:tc>
        <w:tc>
          <w:tcPr>
            <w:tcW w:w="992" w:type="dxa"/>
            <w:shd w:val="pct10" w:color="auto" w:fill="auto"/>
          </w:tcPr>
          <w:p w14:paraId="5080DF63" w14:textId="77777777" w:rsidR="00F15D0E" w:rsidRPr="007C1EC1" w:rsidRDefault="008E1E76" w:rsidP="001110F2">
            <w:pPr>
              <w:spacing w:line="276" w:lineRule="auto"/>
              <w:jc w:val="center"/>
              <w:rPr>
                <w:b/>
                <w:sz w:val="20"/>
              </w:rPr>
            </w:pPr>
            <w:r w:rsidRPr="007C1EC1">
              <w:rPr>
                <w:b/>
                <w:sz w:val="20"/>
              </w:rPr>
              <w:t>6</w:t>
            </w:r>
          </w:p>
        </w:tc>
        <w:tc>
          <w:tcPr>
            <w:tcW w:w="1134" w:type="dxa"/>
            <w:shd w:val="pct10" w:color="auto" w:fill="auto"/>
          </w:tcPr>
          <w:p w14:paraId="5080DF64" w14:textId="77777777" w:rsidR="00F15D0E" w:rsidRPr="007C1EC1" w:rsidRDefault="008E1E76" w:rsidP="001110F2">
            <w:pPr>
              <w:spacing w:line="276" w:lineRule="auto"/>
              <w:ind w:firstLine="33"/>
              <w:jc w:val="center"/>
              <w:rPr>
                <w:b/>
                <w:sz w:val="20"/>
              </w:rPr>
            </w:pPr>
            <w:r w:rsidRPr="007C1EC1">
              <w:rPr>
                <w:b/>
                <w:sz w:val="20"/>
              </w:rPr>
              <w:t>7</w:t>
            </w:r>
          </w:p>
        </w:tc>
        <w:tc>
          <w:tcPr>
            <w:tcW w:w="4253" w:type="dxa"/>
            <w:shd w:val="pct10" w:color="auto" w:fill="auto"/>
          </w:tcPr>
          <w:p w14:paraId="5080DF65" w14:textId="77777777" w:rsidR="00F15D0E" w:rsidRPr="007C1EC1" w:rsidRDefault="008E1E76" w:rsidP="001110F2">
            <w:pPr>
              <w:spacing w:line="276" w:lineRule="auto"/>
              <w:ind w:left="-259" w:right="1026" w:firstLine="826"/>
              <w:jc w:val="center"/>
              <w:rPr>
                <w:b/>
                <w:sz w:val="20"/>
              </w:rPr>
            </w:pPr>
            <w:r w:rsidRPr="007C1EC1">
              <w:rPr>
                <w:b/>
                <w:sz w:val="20"/>
              </w:rPr>
              <w:t>8</w:t>
            </w:r>
          </w:p>
        </w:tc>
      </w:tr>
      <w:tr w:rsidR="00621363" w:rsidRPr="007C1EC1" w14:paraId="5080DF6F" w14:textId="77777777" w:rsidTr="0089022E">
        <w:trPr>
          <w:trHeight w:val="2150"/>
        </w:trPr>
        <w:tc>
          <w:tcPr>
            <w:tcW w:w="1696" w:type="dxa"/>
            <w:vMerge w:val="restart"/>
          </w:tcPr>
          <w:p w14:paraId="5080DF67" w14:textId="01E5A2A0" w:rsidR="00621363" w:rsidRPr="007C1EC1" w:rsidRDefault="00621363" w:rsidP="00167806">
            <w:pPr>
              <w:rPr>
                <w:i/>
                <w:sz w:val="18"/>
                <w:szCs w:val="18"/>
              </w:rPr>
            </w:pPr>
            <w:r w:rsidRPr="007C1EC1">
              <w:rPr>
                <w:color w:val="000000"/>
                <w:sz w:val="18"/>
                <w:szCs w:val="18"/>
              </w:rPr>
              <w:t xml:space="preserve">1. </w:t>
            </w:r>
            <w:r w:rsidR="00A07A50">
              <w:rPr>
                <w:color w:val="000000"/>
                <w:sz w:val="18"/>
                <w:szCs w:val="18"/>
              </w:rPr>
              <w:t xml:space="preserve">Tvarios ir subalansuotos aplinkos užtikrinimas Klaipėdos mieste </w:t>
            </w:r>
          </w:p>
        </w:tc>
        <w:tc>
          <w:tcPr>
            <w:tcW w:w="1276" w:type="dxa"/>
          </w:tcPr>
          <w:p w14:paraId="5080DF68" w14:textId="4FBA9791" w:rsidR="00621363" w:rsidRPr="007C1EC1" w:rsidRDefault="00621363" w:rsidP="001110F2">
            <w:pPr>
              <w:spacing w:line="276" w:lineRule="auto"/>
              <w:ind w:firstLine="29"/>
              <w:rPr>
                <w:iCs/>
                <w:sz w:val="18"/>
                <w:szCs w:val="18"/>
              </w:rPr>
            </w:pPr>
            <w:r w:rsidRPr="007C1EC1">
              <w:rPr>
                <w:iCs/>
                <w:sz w:val="18"/>
                <w:szCs w:val="18"/>
              </w:rPr>
              <w:t>P.B.2.0076</w:t>
            </w:r>
          </w:p>
        </w:tc>
        <w:tc>
          <w:tcPr>
            <w:tcW w:w="1701" w:type="dxa"/>
          </w:tcPr>
          <w:p w14:paraId="5080DF69" w14:textId="662F62B4" w:rsidR="00621363" w:rsidRPr="007C1EC1" w:rsidRDefault="00621363" w:rsidP="00BF6431">
            <w:pPr>
              <w:rPr>
                <w:iCs/>
                <w:sz w:val="18"/>
                <w:szCs w:val="18"/>
              </w:rPr>
            </w:pPr>
            <w:r w:rsidRPr="007C1EC1">
              <w:rPr>
                <w:iCs/>
                <w:sz w:val="18"/>
                <w:szCs w:val="18"/>
              </w:rPr>
              <w:t>Integruoti teritorinio vystymo projektai</w:t>
            </w:r>
            <w:r w:rsidR="00BB3971">
              <w:rPr>
                <w:iCs/>
                <w:sz w:val="18"/>
                <w:szCs w:val="18"/>
              </w:rPr>
              <w:t xml:space="preserve"> (</w:t>
            </w:r>
            <w:r>
              <w:rPr>
                <w:iCs/>
                <w:sz w:val="18"/>
                <w:szCs w:val="18"/>
              </w:rPr>
              <w:t>projektai</w:t>
            </w:r>
            <w:r w:rsidR="00BB3971">
              <w:rPr>
                <w:iCs/>
                <w:sz w:val="18"/>
                <w:szCs w:val="18"/>
              </w:rPr>
              <w:t>)</w:t>
            </w:r>
          </w:p>
        </w:tc>
        <w:tc>
          <w:tcPr>
            <w:tcW w:w="1276" w:type="dxa"/>
            <w:vMerge w:val="restart"/>
          </w:tcPr>
          <w:p w14:paraId="5080DF6A" w14:textId="62D1A0E0" w:rsidR="00E367F6" w:rsidRPr="006E6888" w:rsidRDefault="00E367F6" w:rsidP="001A13C1">
            <w:pPr>
              <w:spacing w:line="276" w:lineRule="auto"/>
              <w:jc w:val="center"/>
              <w:rPr>
                <w:sz w:val="18"/>
                <w:szCs w:val="18"/>
              </w:rPr>
            </w:pPr>
            <w:r w:rsidRPr="006E6888">
              <w:rPr>
                <w:sz w:val="18"/>
                <w:szCs w:val="18"/>
              </w:rPr>
              <w:t>46 204 654,05</w:t>
            </w:r>
          </w:p>
        </w:tc>
        <w:tc>
          <w:tcPr>
            <w:tcW w:w="1701" w:type="dxa"/>
            <w:vMerge w:val="restart"/>
          </w:tcPr>
          <w:p w14:paraId="5080DF6B" w14:textId="23A7F480" w:rsidR="00E367F6" w:rsidRPr="006E6888" w:rsidRDefault="00E367F6" w:rsidP="001A13C1">
            <w:pPr>
              <w:spacing w:line="276" w:lineRule="auto"/>
              <w:jc w:val="center"/>
              <w:rPr>
                <w:sz w:val="18"/>
                <w:szCs w:val="18"/>
              </w:rPr>
            </w:pPr>
            <w:r w:rsidRPr="006E6888">
              <w:rPr>
                <w:sz w:val="18"/>
                <w:szCs w:val="18"/>
              </w:rPr>
              <w:t>39 273 309,09</w:t>
            </w:r>
          </w:p>
        </w:tc>
        <w:tc>
          <w:tcPr>
            <w:tcW w:w="992" w:type="dxa"/>
          </w:tcPr>
          <w:p w14:paraId="5080DF6C" w14:textId="4AA27C40" w:rsidR="00621363" w:rsidRPr="007C1EC1" w:rsidRDefault="00621363" w:rsidP="001110F2">
            <w:pPr>
              <w:spacing w:line="276" w:lineRule="auto"/>
              <w:jc w:val="center"/>
              <w:rPr>
                <w:sz w:val="18"/>
                <w:szCs w:val="18"/>
              </w:rPr>
            </w:pPr>
            <w:r>
              <w:rPr>
                <w:sz w:val="18"/>
                <w:szCs w:val="18"/>
              </w:rPr>
              <w:t>-</w:t>
            </w:r>
          </w:p>
        </w:tc>
        <w:tc>
          <w:tcPr>
            <w:tcW w:w="1134" w:type="dxa"/>
          </w:tcPr>
          <w:p w14:paraId="4C720957" w14:textId="30B34C9A" w:rsidR="00621363" w:rsidRDefault="00EC39CF" w:rsidP="001110F2">
            <w:pPr>
              <w:spacing w:line="276" w:lineRule="auto"/>
              <w:ind w:firstLine="30"/>
              <w:jc w:val="center"/>
              <w:rPr>
                <w:sz w:val="18"/>
                <w:szCs w:val="18"/>
              </w:rPr>
            </w:pPr>
            <w:r>
              <w:rPr>
                <w:sz w:val="18"/>
                <w:szCs w:val="18"/>
              </w:rPr>
              <w:t>7</w:t>
            </w:r>
          </w:p>
          <w:p w14:paraId="5080DF6D" w14:textId="4B658B86" w:rsidR="00426990" w:rsidRPr="007C1EC1" w:rsidRDefault="00426990" w:rsidP="001110F2">
            <w:pPr>
              <w:spacing w:line="276" w:lineRule="auto"/>
              <w:ind w:firstLine="30"/>
              <w:jc w:val="center"/>
              <w:rPr>
                <w:sz w:val="18"/>
                <w:szCs w:val="18"/>
              </w:rPr>
            </w:pPr>
            <w:r>
              <w:rPr>
                <w:sz w:val="18"/>
                <w:szCs w:val="18"/>
              </w:rPr>
              <w:t>(2029)</w:t>
            </w:r>
          </w:p>
        </w:tc>
        <w:tc>
          <w:tcPr>
            <w:tcW w:w="4253" w:type="dxa"/>
          </w:tcPr>
          <w:p w14:paraId="5080DF6E" w14:textId="3B194F9C" w:rsidR="00621363" w:rsidRPr="007C1EC1" w:rsidRDefault="00621363" w:rsidP="0089022E">
            <w:pPr>
              <w:spacing w:line="276" w:lineRule="auto"/>
              <w:jc w:val="both"/>
              <w:rPr>
                <w:i/>
                <w:sz w:val="18"/>
                <w:szCs w:val="18"/>
              </w:rPr>
            </w:pPr>
            <w:r w:rsidRPr="007C1EC1">
              <w:rPr>
                <w:iCs/>
                <w:sz w:val="18"/>
                <w:szCs w:val="18"/>
              </w:rPr>
              <w:t xml:space="preserve">Rodiklis   atitinka   2021–2027   metų   Europos Sąjungos fondų investicijų programos (toliau – IP) </w:t>
            </w:r>
            <w:r w:rsidR="009A177B">
              <w:rPr>
                <w:iCs/>
                <w:sz w:val="18"/>
                <w:szCs w:val="18"/>
              </w:rPr>
              <w:t>5.1.</w:t>
            </w:r>
            <w:r w:rsidRPr="007C1EC1">
              <w:rPr>
                <w:iCs/>
                <w:sz w:val="18"/>
                <w:szCs w:val="18"/>
              </w:rPr>
              <w:t xml:space="preserve"> konkrečiam uždaviniui „</w:t>
            </w:r>
            <w:r w:rsidR="009A177B" w:rsidRPr="009A177B">
              <w:rPr>
                <w:iCs/>
                <w:sz w:val="18"/>
                <w:szCs w:val="18"/>
              </w:rPr>
              <w:t>Skatinti integruotą ir įtraukią socialinę, ekonominę ir aplinkosaugos plėtrą, puoselėti kultūrą, gamtos paveldą, darnų turizmą ir saugumą miestų teritorijose</w:t>
            </w:r>
            <w:r w:rsidRPr="007C1EC1">
              <w:rPr>
                <w:iCs/>
                <w:sz w:val="18"/>
                <w:szCs w:val="18"/>
              </w:rPr>
              <w:t>“ priskirtą produkto  rodiklį. Siektina tarpinė rodiklio</w:t>
            </w:r>
            <w:r w:rsidR="009A177B">
              <w:rPr>
                <w:iCs/>
                <w:sz w:val="18"/>
                <w:szCs w:val="18"/>
              </w:rPr>
              <w:t xml:space="preserve"> </w:t>
            </w:r>
            <w:r w:rsidRPr="007C1EC1">
              <w:rPr>
                <w:iCs/>
                <w:sz w:val="18"/>
                <w:szCs w:val="18"/>
              </w:rPr>
              <w:t>reikšmė IP</w:t>
            </w:r>
            <w:r w:rsidR="009A177B">
              <w:rPr>
                <w:iCs/>
                <w:sz w:val="18"/>
                <w:szCs w:val="18"/>
              </w:rPr>
              <w:t xml:space="preserve"> </w:t>
            </w:r>
            <w:r w:rsidRPr="007C1EC1">
              <w:rPr>
                <w:iCs/>
                <w:sz w:val="18"/>
                <w:szCs w:val="18"/>
              </w:rPr>
              <w:t>nenustatoma.</w:t>
            </w:r>
            <w:r w:rsidR="009A177B">
              <w:rPr>
                <w:iCs/>
                <w:sz w:val="18"/>
                <w:szCs w:val="18"/>
              </w:rPr>
              <w:t xml:space="preserve"> </w:t>
            </w:r>
            <w:r w:rsidRPr="007C1EC1">
              <w:rPr>
                <w:iCs/>
                <w:sz w:val="18"/>
                <w:szCs w:val="18"/>
              </w:rPr>
              <w:t>Siektina galutinė rodiklio reikšmė apskaičiuota</w:t>
            </w:r>
            <w:r w:rsidR="009A177B">
              <w:rPr>
                <w:iCs/>
                <w:sz w:val="18"/>
                <w:szCs w:val="18"/>
              </w:rPr>
              <w:t xml:space="preserve"> </w:t>
            </w:r>
            <w:r w:rsidRPr="007C1EC1">
              <w:rPr>
                <w:iCs/>
                <w:sz w:val="18"/>
                <w:szCs w:val="18"/>
              </w:rPr>
              <w:t>įvertinus  numatomų įgyvendinti projektų informaciją.</w:t>
            </w:r>
            <w:r w:rsidR="00426F97">
              <w:rPr>
                <w:iCs/>
                <w:sz w:val="18"/>
                <w:szCs w:val="18"/>
              </w:rPr>
              <w:t xml:space="preserve"> Atitinkami rodikliai suplanuoti ir </w:t>
            </w:r>
            <w:r w:rsidR="00426F97" w:rsidRPr="00426F97">
              <w:rPr>
                <w:iCs/>
                <w:sz w:val="18"/>
                <w:szCs w:val="18"/>
              </w:rPr>
              <w:t>Tvarios Klaipėdos miesto plėtros 2023–2029 metų strategij</w:t>
            </w:r>
            <w:r w:rsidR="00426F97">
              <w:rPr>
                <w:iCs/>
                <w:sz w:val="18"/>
                <w:szCs w:val="18"/>
              </w:rPr>
              <w:t>oje.</w:t>
            </w:r>
          </w:p>
        </w:tc>
      </w:tr>
      <w:tr w:rsidR="00621363" w:rsidRPr="007C1EC1" w14:paraId="7C231EA2" w14:textId="77777777" w:rsidTr="009952DA">
        <w:trPr>
          <w:trHeight w:val="132"/>
        </w:trPr>
        <w:tc>
          <w:tcPr>
            <w:tcW w:w="1696" w:type="dxa"/>
            <w:vMerge/>
          </w:tcPr>
          <w:p w14:paraId="21C18405" w14:textId="77777777" w:rsidR="00621363" w:rsidRPr="007C1EC1" w:rsidRDefault="00621363" w:rsidP="001110F2">
            <w:pPr>
              <w:spacing w:line="276" w:lineRule="auto"/>
              <w:rPr>
                <w:color w:val="000000"/>
                <w:sz w:val="20"/>
              </w:rPr>
            </w:pPr>
          </w:p>
        </w:tc>
        <w:tc>
          <w:tcPr>
            <w:tcW w:w="1276" w:type="dxa"/>
          </w:tcPr>
          <w:p w14:paraId="17F26738" w14:textId="6F7D95DC" w:rsidR="00621363" w:rsidRPr="002D0854" w:rsidRDefault="00621363" w:rsidP="001110F2">
            <w:pPr>
              <w:spacing w:line="276" w:lineRule="auto"/>
              <w:ind w:firstLine="29"/>
              <w:rPr>
                <w:color w:val="000000"/>
                <w:sz w:val="18"/>
                <w:szCs w:val="18"/>
              </w:rPr>
            </w:pPr>
            <w:r w:rsidRPr="002D0854">
              <w:rPr>
                <w:color w:val="000000"/>
                <w:sz w:val="18"/>
                <w:szCs w:val="18"/>
              </w:rPr>
              <w:t>P.S.2.1034</w:t>
            </w:r>
          </w:p>
        </w:tc>
        <w:tc>
          <w:tcPr>
            <w:tcW w:w="1701" w:type="dxa"/>
          </w:tcPr>
          <w:p w14:paraId="496E9A0C" w14:textId="08A80022" w:rsidR="00621363" w:rsidRPr="002D0854" w:rsidRDefault="00621363" w:rsidP="00BF6431">
            <w:pPr>
              <w:rPr>
                <w:iCs/>
                <w:sz w:val="18"/>
                <w:szCs w:val="18"/>
              </w:rPr>
            </w:pPr>
            <w:r w:rsidRPr="002D0854">
              <w:rPr>
                <w:iCs/>
                <w:sz w:val="18"/>
                <w:szCs w:val="18"/>
              </w:rPr>
              <w:t xml:space="preserve">Naujų ar rekonstruotų pastatų, kurių pirminės energijos paklausa yra bent 20 % mažesnė, nei reikalauja energijos beveik nevartojantis </w:t>
            </w:r>
            <w:r w:rsidRPr="002D0854">
              <w:rPr>
                <w:iCs/>
                <w:sz w:val="18"/>
                <w:szCs w:val="18"/>
              </w:rPr>
              <w:lastRenderedPageBreak/>
              <w:t>pastatas, plotas</w:t>
            </w:r>
            <w:r w:rsidR="00BB3971">
              <w:rPr>
                <w:iCs/>
                <w:sz w:val="18"/>
                <w:szCs w:val="18"/>
              </w:rPr>
              <w:t xml:space="preserve"> (</w:t>
            </w:r>
            <w:r w:rsidRPr="002D0854">
              <w:rPr>
                <w:iCs/>
                <w:sz w:val="18"/>
                <w:szCs w:val="18"/>
              </w:rPr>
              <w:t>kvadratiniai metrai</w:t>
            </w:r>
            <w:r w:rsidR="00BB3971">
              <w:rPr>
                <w:iCs/>
                <w:sz w:val="18"/>
                <w:szCs w:val="18"/>
              </w:rPr>
              <w:t>)</w:t>
            </w:r>
          </w:p>
        </w:tc>
        <w:tc>
          <w:tcPr>
            <w:tcW w:w="1276" w:type="dxa"/>
            <w:vMerge/>
          </w:tcPr>
          <w:p w14:paraId="33189BDF" w14:textId="77777777" w:rsidR="00621363" w:rsidRPr="002D0854" w:rsidRDefault="00621363" w:rsidP="00D76058">
            <w:pPr>
              <w:spacing w:line="276" w:lineRule="auto"/>
              <w:rPr>
                <w:sz w:val="18"/>
                <w:szCs w:val="18"/>
              </w:rPr>
            </w:pPr>
          </w:p>
        </w:tc>
        <w:tc>
          <w:tcPr>
            <w:tcW w:w="1701" w:type="dxa"/>
            <w:vMerge/>
          </w:tcPr>
          <w:p w14:paraId="522087DD" w14:textId="77777777" w:rsidR="00621363" w:rsidRPr="002D0854" w:rsidRDefault="00621363" w:rsidP="001110F2">
            <w:pPr>
              <w:spacing w:line="276" w:lineRule="auto"/>
              <w:jc w:val="center"/>
              <w:rPr>
                <w:sz w:val="18"/>
                <w:szCs w:val="18"/>
              </w:rPr>
            </w:pPr>
          </w:p>
        </w:tc>
        <w:tc>
          <w:tcPr>
            <w:tcW w:w="992" w:type="dxa"/>
          </w:tcPr>
          <w:p w14:paraId="4508F88F" w14:textId="7EA8353A" w:rsidR="00621363" w:rsidRPr="002D0854" w:rsidRDefault="00621363" w:rsidP="001110F2">
            <w:pPr>
              <w:spacing w:line="276" w:lineRule="auto"/>
              <w:jc w:val="center"/>
              <w:rPr>
                <w:iCs/>
                <w:sz w:val="18"/>
                <w:szCs w:val="18"/>
              </w:rPr>
            </w:pPr>
            <w:r w:rsidRPr="002D0854">
              <w:rPr>
                <w:iCs/>
                <w:sz w:val="18"/>
                <w:szCs w:val="18"/>
              </w:rPr>
              <w:t>-</w:t>
            </w:r>
          </w:p>
        </w:tc>
        <w:tc>
          <w:tcPr>
            <w:tcW w:w="1134" w:type="dxa"/>
          </w:tcPr>
          <w:p w14:paraId="21F6D40E" w14:textId="2708F76D" w:rsidR="00783AD6" w:rsidRPr="00700EE9" w:rsidRDefault="00783AD6" w:rsidP="001110F2">
            <w:pPr>
              <w:spacing w:line="276" w:lineRule="auto"/>
              <w:jc w:val="center"/>
              <w:rPr>
                <w:iCs/>
                <w:sz w:val="18"/>
                <w:szCs w:val="18"/>
              </w:rPr>
            </w:pPr>
            <w:r w:rsidRPr="00700EE9">
              <w:rPr>
                <w:iCs/>
                <w:sz w:val="18"/>
                <w:szCs w:val="18"/>
              </w:rPr>
              <w:t>2 791,89</w:t>
            </w:r>
          </w:p>
          <w:p w14:paraId="04346689" w14:textId="289F2770" w:rsidR="00426990" w:rsidRPr="002D0854" w:rsidRDefault="00426990" w:rsidP="001110F2">
            <w:pPr>
              <w:spacing w:line="276" w:lineRule="auto"/>
              <w:jc w:val="center"/>
              <w:rPr>
                <w:iCs/>
                <w:sz w:val="18"/>
                <w:szCs w:val="18"/>
              </w:rPr>
            </w:pPr>
            <w:r>
              <w:rPr>
                <w:iCs/>
                <w:sz w:val="18"/>
                <w:szCs w:val="18"/>
              </w:rPr>
              <w:t>(2029)</w:t>
            </w:r>
          </w:p>
        </w:tc>
        <w:tc>
          <w:tcPr>
            <w:tcW w:w="4253" w:type="dxa"/>
          </w:tcPr>
          <w:p w14:paraId="694E4E6A" w14:textId="6F1FDC0A" w:rsidR="00621363" w:rsidRPr="007C1EC1" w:rsidRDefault="004521E9"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5.1.</w:t>
            </w:r>
            <w:r w:rsidRPr="007C1EC1">
              <w:rPr>
                <w:iCs/>
                <w:sz w:val="18"/>
                <w:szCs w:val="18"/>
              </w:rPr>
              <w:t xml:space="preserve"> konkrečiam uždaviniui „</w:t>
            </w:r>
            <w:r w:rsidRPr="009A177B">
              <w:rPr>
                <w:iCs/>
                <w:sz w:val="18"/>
                <w:szCs w:val="18"/>
              </w:rPr>
              <w:t>Skatinti integruotą ir įtraukią socialinę, ekonominę ir aplinkosaugos plėtrą, puoselėti kultūrą, gamtos paveldą, darnų turizmą ir saugumą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 xml:space="preserve">įvertinus  </w:t>
            </w:r>
            <w:r w:rsidRPr="007C1EC1">
              <w:rPr>
                <w:iCs/>
                <w:sz w:val="18"/>
                <w:szCs w:val="18"/>
              </w:rPr>
              <w:lastRenderedPageBreak/>
              <w:t>numatomų įgyvendinti projektų informaciją.</w:t>
            </w:r>
            <w:r w:rsidR="00173372">
              <w:rPr>
                <w:iCs/>
                <w:sz w:val="18"/>
                <w:szCs w:val="18"/>
              </w:rPr>
              <w:t xml:space="preserve"> Atitinkami rodikliai suplanuoti ir </w:t>
            </w:r>
            <w:r w:rsidR="00173372" w:rsidRPr="00426F97">
              <w:rPr>
                <w:iCs/>
                <w:sz w:val="18"/>
                <w:szCs w:val="18"/>
              </w:rPr>
              <w:t>Tvarios Klaipėdos miesto plėtros 2023–2029 metų strategij</w:t>
            </w:r>
            <w:r w:rsidR="00173372">
              <w:rPr>
                <w:iCs/>
                <w:sz w:val="18"/>
                <w:szCs w:val="18"/>
              </w:rPr>
              <w:t>oje.</w:t>
            </w:r>
          </w:p>
        </w:tc>
      </w:tr>
      <w:tr w:rsidR="00621363" w:rsidRPr="007C1EC1" w14:paraId="518FFB8F" w14:textId="77777777" w:rsidTr="009952DA">
        <w:trPr>
          <w:trHeight w:val="132"/>
        </w:trPr>
        <w:tc>
          <w:tcPr>
            <w:tcW w:w="1696" w:type="dxa"/>
            <w:vMerge/>
          </w:tcPr>
          <w:p w14:paraId="0F15F75B" w14:textId="77777777" w:rsidR="00621363" w:rsidRPr="007C1EC1" w:rsidRDefault="00621363" w:rsidP="001110F2">
            <w:pPr>
              <w:spacing w:line="276" w:lineRule="auto"/>
              <w:rPr>
                <w:color w:val="000000"/>
                <w:sz w:val="20"/>
              </w:rPr>
            </w:pPr>
          </w:p>
        </w:tc>
        <w:tc>
          <w:tcPr>
            <w:tcW w:w="1276" w:type="dxa"/>
          </w:tcPr>
          <w:p w14:paraId="58BF041F" w14:textId="1829474F" w:rsidR="00621363" w:rsidRPr="002D0854" w:rsidRDefault="00621363" w:rsidP="007C1EC1">
            <w:pPr>
              <w:spacing w:line="276" w:lineRule="auto"/>
              <w:rPr>
                <w:color w:val="000000"/>
                <w:sz w:val="18"/>
                <w:szCs w:val="18"/>
              </w:rPr>
            </w:pPr>
            <w:r w:rsidRPr="002D0854">
              <w:rPr>
                <w:color w:val="000000"/>
                <w:sz w:val="18"/>
                <w:szCs w:val="18"/>
              </w:rPr>
              <w:t>P.B.2.0114</w:t>
            </w:r>
          </w:p>
        </w:tc>
        <w:tc>
          <w:tcPr>
            <w:tcW w:w="1701" w:type="dxa"/>
          </w:tcPr>
          <w:p w14:paraId="330DFD98" w14:textId="644F016D" w:rsidR="00621363" w:rsidRPr="002D0854" w:rsidRDefault="00621363" w:rsidP="00BF6431">
            <w:pPr>
              <w:rPr>
                <w:iCs/>
                <w:sz w:val="18"/>
                <w:szCs w:val="18"/>
              </w:rPr>
            </w:pPr>
            <w:r w:rsidRPr="002D0854">
              <w:rPr>
                <w:iCs/>
                <w:sz w:val="18"/>
                <w:szCs w:val="18"/>
              </w:rPr>
              <w:t>Atviros erdvės, sukurtos arba atkurtos miestų teritorijose</w:t>
            </w:r>
            <w:r w:rsidR="00BB3971">
              <w:rPr>
                <w:iCs/>
                <w:sz w:val="18"/>
                <w:szCs w:val="18"/>
              </w:rPr>
              <w:t xml:space="preserve"> (</w:t>
            </w:r>
            <w:r w:rsidRPr="002D0854">
              <w:rPr>
                <w:iCs/>
                <w:sz w:val="18"/>
                <w:szCs w:val="18"/>
              </w:rPr>
              <w:t>kvadratiniai metrai</w:t>
            </w:r>
            <w:r w:rsidR="00BB3971">
              <w:rPr>
                <w:iCs/>
                <w:sz w:val="18"/>
                <w:szCs w:val="18"/>
              </w:rPr>
              <w:t>)</w:t>
            </w:r>
          </w:p>
        </w:tc>
        <w:tc>
          <w:tcPr>
            <w:tcW w:w="1276" w:type="dxa"/>
            <w:vMerge/>
          </w:tcPr>
          <w:p w14:paraId="3AC66C03" w14:textId="77777777" w:rsidR="00621363" w:rsidRPr="002D0854" w:rsidRDefault="00621363" w:rsidP="00D76058">
            <w:pPr>
              <w:spacing w:line="276" w:lineRule="auto"/>
              <w:rPr>
                <w:sz w:val="18"/>
                <w:szCs w:val="18"/>
              </w:rPr>
            </w:pPr>
          </w:p>
        </w:tc>
        <w:tc>
          <w:tcPr>
            <w:tcW w:w="1701" w:type="dxa"/>
            <w:vMerge/>
          </w:tcPr>
          <w:p w14:paraId="692A86FB" w14:textId="77777777" w:rsidR="00621363" w:rsidRPr="002D0854" w:rsidRDefault="00621363" w:rsidP="001110F2">
            <w:pPr>
              <w:spacing w:line="276" w:lineRule="auto"/>
              <w:jc w:val="center"/>
              <w:rPr>
                <w:sz w:val="18"/>
                <w:szCs w:val="18"/>
              </w:rPr>
            </w:pPr>
          </w:p>
        </w:tc>
        <w:tc>
          <w:tcPr>
            <w:tcW w:w="992" w:type="dxa"/>
          </w:tcPr>
          <w:p w14:paraId="1F89277F" w14:textId="50EB2D63" w:rsidR="00621363" w:rsidRPr="002D0854" w:rsidRDefault="00621363" w:rsidP="001110F2">
            <w:pPr>
              <w:spacing w:line="276" w:lineRule="auto"/>
              <w:jc w:val="center"/>
              <w:rPr>
                <w:iCs/>
                <w:sz w:val="18"/>
                <w:szCs w:val="18"/>
              </w:rPr>
            </w:pPr>
            <w:r w:rsidRPr="002D0854">
              <w:rPr>
                <w:iCs/>
                <w:sz w:val="18"/>
                <w:szCs w:val="18"/>
              </w:rPr>
              <w:t>-</w:t>
            </w:r>
          </w:p>
        </w:tc>
        <w:tc>
          <w:tcPr>
            <w:tcW w:w="1134" w:type="dxa"/>
          </w:tcPr>
          <w:p w14:paraId="27A25CB2" w14:textId="45170485" w:rsidR="00FF43E9" w:rsidRPr="00E97020" w:rsidRDefault="00FF43E9" w:rsidP="001110F2">
            <w:pPr>
              <w:spacing w:line="276" w:lineRule="auto"/>
              <w:jc w:val="center"/>
              <w:rPr>
                <w:iCs/>
                <w:sz w:val="18"/>
                <w:szCs w:val="18"/>
              </w:rPr>
            </w:pPr>
            <w:r w:rsidRPr="00E97020">
              <w:rPr>
                <w:iCs/>
                <w:sz w:val="18"/>
                <w:szCs w:val="18"/>
              </w:rPr>
              <w:t>117 805,5</w:t>
            </w:r>
          </w:p>
          <w:p w14:paraId="6BBD0495" w14:textId="10ACAFE4" w:rsidR="00426990" w:rsidRPr="002D0854" w:rsidRDefault="00426990" w:rsidP="001110F2">
            <w:pPr>
              <w:spacing w:line="276" w:lineRule="auto"/>
              <w:jc w:val="center"/>
              <w:rPr>
                <w:iCs/>
                <w:sz w:val="18"/>
                <w:szCs w:val="18"/>
              </w:rPr>
            </w:pPr>
            <w:r w:rsidRPr="00E97020">
              <w:rPr>
                <w:iCs/>
                <w:sz w:val="18"/>
                <w:szCs w:val="18"/>
              </w:rPr>
              <w:t>(2029)</w:t>
            </w:r>
          </w:p>
        </w:tc>
        <w:tc>
          <w:tcPr>
            <w:tcW w:w="4253" w:type="dxa"/>
          </w:tcPr>
          <w:p w14:paraId="4D65B2FA" w14:textId="28EB628E" w:rsidR="00621363" w:rsidRPr="007C1EC1" w:rsidRDefault="004521E9" w:rsidP="0089022E">
            <w:pPr>
              <w:spacing w:line="276" w:lineRule="auto"/>
              <w:jc w:val="both"/>
              <w:rPr>
                <w:iCs/>
                <w:sz w:val="20"/>
              </w:rPr>
            </w:pPr>
            <w:r w:rsidRPr="007C1EC1">
              <w:rPr>
                <w:iCs/>
                <w:sz w:val="18"/>
                <w:szCs w:val="18"/>
              </w:rPr>
              <w:t xml:space="preserve">Rodiklis   atitinka   2021–2027   metų   Europos Sąjungos fondų investicijų programos (toliau – IP) </w:t>
            </w:r>
            <w:r>
              <w:rPr>
                <w:iCs/>
                <w:sz w:val="18"/>
                <w:szCs w:val="18"/>
              </w:rPr>
              <w:t>5.1.</w:t>
            </w:r>
            <w:r w:rsidRPr="007C1EC1">
              <w:rPr>
                <w:iCs/>
                <w:sz w:val="18"/>
                <w:szCs w:val="18"/>
              </w:rPr>
              <w:t xml:space="preserve"> konkrečiam uždaviniui „</w:t>
            </w:r>
            <w:r w:rsidRPr="009A177B">
              <w:rPr>
                <w:iCs/>
                <w:sz w:val="18"/>
                <w:szCs w:val="18"/>
              </w:rPr>
              <w:t>Skatinti integruotą ir įtraukią socialinę, ekonominę ir aplinkosaugos plėtrą, puoselėti kultūrą, gamtos paveldą, darnų turizmą ir saugumą miestų teritorijose</w:t>
            </w:r>
            <w:r w:rsidRPr="007C1EC1">
              <w:rPr>
                <w:iCs/>
                <w:sz w:val="18"/>
                <w:szCs w:val="18"/>
              </w:rPr>
              <w:t>“ priskirtą produkto  rodiklį. Siektina tarpinė rodiklio</w:t>
            </w:r>
            <w:r>
              <w:rPr>
                <w:iCs/>
                <w:sz w:val="18"/>
                <w:szCs w:val="18"/>
              </w:rPr>
              <w:t xml:space="preserve"> </w:t>
            </w:r>
            <w:r w:rsidRPr="007C1EC1">
              <w:rPr>
                <w:iCs/>
                <w:sz w:val="18"/>
                <w:szCs w:val="18"/>
              </w:rPr>
              <w:t>reikšmė IP</w:t>
            </w:r>
            <w:r>
              <w:rPr>
                <w:iCs/>
                <w:sz w:val="18"/>
                <w:szCs w:val="18"/>
              </w:rPr>
              <w:t xml:space="preserve"> </w:t>
            </w:r>
            <w:r w:rsidRPr="007C1EC1">
              <w:rPr>
                <w:iCs/>
                <w:sz w:val="18"/>
                <w:szCs w:val="18"/>
              </w:rPr>
              <w:t>nenustatoma.</w:t>
            </w:r>
            <w:r>
              <w:rPr>
                <w:iCs/>
                <w:sz w:val="18"/>
                <w:szCs w:val="18"/>
              </w:rPr>
              <w:t xml:space="preserve"> </w:t>
            </w:r>
            <w:r w:rsidRPr="007C1EC1">
              <w:rPr>
                <w:iCs/>
                <w:sz w:val="18"/>
                <w:szCs w:val="18"/>
              </w:rPr>
              <w:t>Siektina galutinė rodiklio reikšmė apskaičiuota</w:t>
            </w:r>
            <w:r>
              <w:rPr>
                <w:iCs/>
                <w:sz w:val="18"/>
                <w:szCs w:val="18"/>
              </w:rPr>
              <w:t xml:space="preserve"> </w:t>
            </w:r>
            <w:r w:rsidRPr="007C1EC1">
              <w:rPr>
                <w:iCs/>
                <w:sz w:val="18"/>
                <w:szCs w:val="18"/>
              </w:rPr>
              <w:t>įvertinus  numatomų įgyvendinti projektų informaciją.</w:t>
            </w:r>
            <w:r w:rsidR="00173372">
              <w:rPr>
                <w:iCs/>
                <w:sz w:val="18"/>
                <w:szCs w:val="18"/>
              </w:rPr>
              <w:t xml:space="preserve"> Atitinkami rodikliai suplanuoti ir </w:t>
            </w:r>
            <w:r w:rsidR="00173372" w:rsidRPr="00426F97">
              <w:rPr>
                <w:iCs/>
                <w:sz w:val="18"/>
                <w:szCs w:val="18"/>
              </w:rPr>
              <w:t>Tvarios Klaipėdos miesto plėtros 2023–2029 metų strategij</w:t>
            </w:r>
            <w:r w:rsidR="00173372">
              <w:rPr>
                <w:iCs/>
                <w:sz w:val="18"/>
                <w:szCs w:val="18"/>
              </w:rPr>
              <w:t>oje.</w:t>
            </w:r>
          </w:p>
        </w:tc>
      </w:tr>
    </w:tbl>
    <w:p w14:paraId="5AF4016E" w14:textId="77777777" w:rsidR="00D40F0A" w:rsidRDefault="00D40F0A" w:rsidP="001110F2">
      <w:pPr>
        <w:spacing w:line="276" w:lineRule="auto"/>
        <w:jc w:val="both"/>
      </w:pPr>
    </w:p>
    <w:p w14:paraId="5080DF7A" w14:textId="59E8FC60" w:rsidR="00F15D0E" w:rsidRPr="000A4091" w:rsidRDefault="000A4091" w:rsidP="000A4091">
      <w:pPr>
        <w:pStyle w:val="Caption"/>
        <w:spacing w:after="40"/>
        <w:rPr>
          <w:i w:val="0"/>
          <w:iCs w:val="0"/>
          <w:color w:val="auto"/>
          <w:sz w:val="22"/>
          <w:szCs w:val="22"/>
        </w:rPr>
      </w:pPr>
      <w:r w:rsidRPr="000A4091">
        <w:rPr>
          <w:b/>
          <w:bCs/>
          <w:i w:val="0"/>
          <w:iCs w:val="0"/>
          <w:color w:val="auto"/>
          <w:sz w:val="22"/>
          <w:szCs w:val="22"/>
        </w:rPr>
        <w:fldChar w:fldCharType="begin"/>
      </w:r>
      <w:r w:rsidRPr="000A4091">
        <w:rPr>
          <w:b/>
          <w:bCs/>
          <w:i w:val="0"/>
          <w:iCs w:val="0"/>
          <w:color w:val="auto"/>
          <w:sz w:val="22"/>
          <w:szCs w:val="22"/>
        </w:rPr>
        <w:instrText xml:space="preserve"> SEQ lentelė \* ARABIC </w:instrText>
      </w:r>
      <w:r w:rsidRPr="000A4091">
        <w:rPr>
          <w:b/>
          <w:bCs/>
          <w:i w:val="0"/>
          <w:iCs w:val="0"/>
          <w:color w:val="auto"/>
          <w:sz w:val="22"/>
          <w:szCs w:val="22"/>
        </w:rPr>
        <w:fldChar w:fldCharType="separate"/>
      </w:r>
      <w:r w:rsidRPr="000A4091">
        <w:rPr>
          <w:b/>
          <w:bCs/>
          <w:i w:val="0"/>
          <w:iCs w:val="0"/>
          <w:noProof/>
          <w:color w:val="auto"/>
          <w:sz w:val="22"/>
          <w:szCs w:val="22"/>
        </w:rPr>
        <w:t>5</w:t>
      </w:r>
      <w:r w:rsidRPr="000A4091">
        <w:rPr>
          <w:b/>
          <w:bCs/>
          <w:i w:val="0"/>
          <w:iCs w:val="0"/>
          <w:color w:val="auto"/>
          <w:sz w:val="22"/>
          <w:szCs w:val="22"/>
        </w:rPr>
        <w:fldChar w:fldCharType="end"/>
      </w:r>
      <w:r w:rsidRPr="000A4091">
        <w:rPr>
          <w:b/>
          <w:bCs/>
          <w:i w:val="0"/>
          <w:iCs w:val="0"/>
          <w:color w:val="auto"/>
          <w:sz w:val="22"/>
          <w:szCs w:val="22"/>
        </w:rPr>
        <w:t xml:space="preserve"> </w:t>
      </w:r>
      <w:r w:rsidR="00550F64" w:rsidRPr="000A4091">
        <w:rPr>
          <w:b/>
          <w:bCs/>
          <w:i w:val="0"/>
          <w:iCs w:val="0"/>
          <w:color w:val="auto"/>
          <w:sz w:val="22"/>
          <w:szCs w:val="22"/>
        </w:rPr>
        <w:t xml:space="preserve">lentelė. </w:t>
      </w:r>
      <w:r w:rsidR="00550F64" w:rsidRPr="000A4091">
        <w:rPr>
          <w:i w:val="0"/>
          <w:iCs w:val="0"/>
          <w:color w:val="auto"/>
          <w:sz w:val="22"/>
          <w:szCs w:val="22"/>
        </w:rPr>
        <w:t>Pažangos priemonės rezultato rodikliai</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426"/>
        <w:gridCol w:w="894"/>
        <w:gridCol w:w="1365"/>
        <w:gridCol w:w="1261"/>
        <w:gridCol w:w="940"/>
        <w:gridCol w:w="988"/>
        <w:gridCol w:w="6017"/>
      </w:tblGrid>
      <w:tr w:rsidR="00F15D0E" w14:paraId="5080DF7C" w14:textId="77777777">
        <w:tc>
          <w:tcPr>
            <w:tcW w:w="14029" w:type="dxa"/>
            <w:gridSpan w:val="8"/>
            <w:tcBorders>
              <w:bottom w:val="single" w:sz="4" w:space="0" w:color="auto"/>
            </w:tcBorders>
            <w:shd w:val="pct10" w:color="auto" w:fill="auto"/>
            <w:vAlign w:val="center"/>
          </w:tcPr>
          <w:p w14:paraId="5080DF7B" w14:textId="77777777" w:rsidR="00F15D0E" w:rsidRDefault="008E1E76" w:rsidP="001110F2">
            <w:pPr>
              <w:spacing w:line="276" w:lineRule="auto"/>
              <w:jc w:val="center"/>
              <w:rPr>
                <w:b/>
                <w:color w:val="000000"/>
                <w:sz w:val="20"/>
              </w:rPr>
            </w:pPr>
            <w:r>
              <w:rPr>
                <w:b/>
                <w:color w:val="000000"/>
                <w:sz w:val="20"/>
              </w:rPr>
              <w:t>Pažangos priemonės rezultato rodikliai</w:t>
            </w:r>
          </w:p>
        </w:tc>
      </w:tr>
      <w:tr w:rsidR="00F15D0E" w14:paraId="5080DF83" w14:textId="77777777" w:rsidTr="00383AF8">
        <w:tc>
          <w:tcPr>
            <w:tcW w:w="1138" w:type="dxa"/>
            <w:vMerge w:val="restart"/>
            <w:shd w:val="pct10" w:color="auto" w:fill="auto"/>
            <w:vAlign w:val="center"/>
          </w:tcPr>
          <w:p w14:paraId="5080DF7D" w14:textId="77777777" w:rsidR="00F15D0E" w:rsidRDefault="008E1E76" w:rsidP="001110F2">
            <w:pPr>
              <w:spacing w:line="276" w:lineRule="auto"/>
              <w:jc w:val="center"/>
              <w:rPr>
                <w:b/>
                <w:color w:val="000000"/>
                <w:sz w:val="20"/>
              </w:rPr>
            </w:pPr>
            <w:r>
              <w:rPr>
                <w:b/>
                <w:color w:val="000000"/>
                <w:sz w:val="20"/>
              </w:rPr>
              <w:t>Rodiklio kodas</w:t>
            </w:r>
          </w:p>
        </w:tc>
        <w:tc>
          <w:tcPr>
            <w:tcW w:w="1426" w:type="dxa"/>
            <w:vMerge w:val="restart"/>
            <w:shd w:val="pct10" w:color="auto" w:fill="auto"/>
            <w:vAlign w:val="center"/>
          </w:tcPr>
          <w:p w14:paraId="5080DF7E" w14:textId="77777777" w:rsidR="00F15D0E" w:rsidRDefault="008E1E76" w:rsidP="001110F2">
            <w:pPr>
              <w:spacing w:line="276" w:lineRule="auto"/>
              <w:jc w:val="center"/>
              <w:rPr>
                <w:b/>
                <w:color w:val="000000"/>
                <w:sz w:val="20"/>
              </w:rPr>
            </w:pPr>
            <w:r>
              <w:rPr>
                <w:b/>
                <w:color w:val="000000"/>
                <w:sz w:val="20"/>
              </w:rPr>
              <w:t>Rodiklio pavadinimas, matavimo vienetas</w:t>
            </w:r>
          </w:p>
        </w:tc>
        <w:tc>
          <w:tcPr>
            <w:tcW w:w="894" w:type="dxa"/>
            <w:vMerge w:val="restart"/>
            <w:shd w:val="pct10" w:color="auto" w:fill="auto"/>
            <w:vAlign w:val="center"/>
          </w:tcPr>
          <w:p w14:paraId="5080DF7F" w14:textId="77777777" w:rsidR="00F15D0E" w:rsidRDefault="008E1E76" w:rsidP="001110F2">
            <w:pPr>
              <w:spacing w:line="276" w:lineRule="auto"/>
              <w:jc w:val="center"/>
              <w:rPr>
                <w:b/>
                <w:color w:val="000000"/>
                <w:sz w:val="20"/>
              </w:rPr>
            </w:pPr>
            <w:r>
              <w:rPr>
                <w:b/>
                <w:color w:val="000000"/>
                <w:sz w:val="20"/>
              </w:rPr>
              <w:t>Pradinė rodiklio reikšmė (metai)</w:t>
            </w:r>
          </w:p>
        </w:tc>
        <w:tc>
          <w:tcPr>
            <w:tcW w:w="2626" w:type="dxa"/>
            <w:gridSpan w:val="2"/>
            <w:shd w:val="pct10" w:color="auto" w:fill="auto"/>
          </w:tcPr>
          <w:p w14:paraId="5080DF80" w14:textId="77777777" w:rsidR="00F15D0E" w:rsidRDefault="008E1E76" w:rsidP="001110F2">
            <w:pPr>
              <w:spacing w:line="276" w:lineRule="auto"/>
              <w:jc w:val="center"/>
              <w:rPr>
                <w:b/>
                <w:color w:val="000000"/>
                <w:sz w:val="20"/>
              </w:rPr>
            </w:pPr>
            <w:r>
              <w:rPr>
                <w:b/>
                <w:color w:val="000000"/>
                <w:sz w:val="20"/>
              </w:rPr>
              <w:t>Rodikliui pasiekti planuojama panaudoti pažangos lėšų suma, Eur</w:t>
            </w:r>
          </w:p>
        </w:tc>
        <w:tc>
          <w:tcPr>
            <w:tcW w:w="1928" w:type="dxa"/>
            <w:gridSpan w:val="2"/>
            <w:shd w:val="pct10" w:color="auto" w:fill="auto"/>
            <w:vAlign w:val="center"/>
          </w:tcPr>
          <w:p w14:paraId="5080DF81" w14:textId="77777777" w:rsidR="00F15D0E" w:rsidRDefault="008E1E76" w:rsidP="001110F2">
            <w:pPr>
              <w:spacing w:line="276" w:lineRule="auto"/>
              <w:jc w:val="center"/>
              <w:rPr>
                <w:b/>
                <w:color w:val="000000"/>
                <w:sz w:val="20"/>
              </w:rPr>
            </w:pPr>
            <w:r>
              <w:rPr>
                <w:b/>
                <w:color w:val="000000"/>
                <w:sz w:val="20"/>
              </w:rPr>
              <w:t>Siektinos rodiklio reikšmės</w:t>
            </w:r>
          </w:p>
        </w:tc>
        <w:tc>
          <w:tcPr>
            <w:tcW w:w="6017" w:type="dxa"/>
            <w:vMerge w:val="restart"/>
            <w:shd w:val="pct10" w:color="auto" w:fill="auto"/>
            <w:vAlign w:val="center"/>
          </w:tcPr>
          <w:p w14:paraId="5080DF82" w14:textId="77777777" w:rsidR="00F15D0E" w:rsidRDefault="008E1E76" w:rsidP="001110F2">
            <w:pPr>
              <w:spacing w:line="276" w:lineRule="auto"/>
              <w:jc w:val="center"/>
              <w:rPr>
                <w:b/>
                <w:color w:val="000000"/>
                <w:sz w:val="20"/>
              </w:rPr>
            </w:pPr>
            <w:r>
              <w:rPr>
                <w:b/>
                <w:color w:val="000000"/>
                <w:sz w:val="20"/>
              </w:rPr>
              <w:t>Siektinos rodiklio reikšmės nustatymo pagrindimas</w:t>
            </w:r>
          </w:p>
        </w:tc>
      </w:tr>
      <w:tr w:rsidR="00F15D0E" w14:paraId="5080DF8D" w14:textId="77777777" w:rsidTr="00383AF8">
        <w:tc>
          <w:tcPr>
            <w:tcW w:w="1138" w:type="dxa"/>
            <w:vMerge/>
            <w:shd w:val="pct10" w:color="auto" w:fill="auto"/>
          </w:tcPr>
          <w:p w14:paraId="5080DF84" w14:textId="77777777" w:rsidR="00F15D0E" w:rsidRDefault="00F15D0E" w:rsidP="001110F2">
            <w:pPr>
              <w:spacing w:line="276" w:lineRule="auto"/>
              <w:jc w:val="center"/>
              <w:rPr>
                <w:b/>
                <w:color w:val="000000"/>
                <w:sz w:val="20"/>
              </w:rPr>
            </w:pPr>
          </w:p>
        </w:tc>
        <w:tc>
          <w:tcPr>
            <w:tcW w:w="1426" w:type="dxa"/>
            <w:vMerge/>
            <w:shd w:val="pct10" w:color="auto" w:fill="auto"/>
          </w:tcPr>
          <w:p w14:paraId="5080DF85" w14:textId="77777777" w:rsidR="00F15D0E" w:rsidRDefault="00F15D0E" w:rsidP="001110F2">
            <w:pPr>
              <w:spacing w:line="276" w:lineRule="auto"/>
              <w:jc w:val="center"/>
              <w:rPr>
                <w:b/>
                <w:color w:val="000000"/>
                <w:sz w:val="20"/>
              </w:rPr>
            </w:pPr>
          </w:p>
        </w:tc>
        <w:tc>
          <w:tcPr>
            <w:tcW w:w="894" w:type="dxa"/>
            <w:vMerge/>
            <w:shd w:val="pct10" w:color="auto" w:fill="auto"/>
          </w:tcPr>
          <w:p w14:paraId="5080DF86" w14:textId="77777777" w:rsidR="00F15D0E" w:rsidRDefault="00F15D0E" w:rsidP="001110F2">
            <w:pPr>
              <w:spacing w:line="276" w:lineRule="auto"/>
              <w:jc w:val="center"/>
              <w:rPr>
                <w:b/>
                <w:color w:val="000000"/>
                <w:sz w:val="20"/>
              </w:rPr>
            </w:pPr>
          </w:p>
        </w:tc>
        <w:tc>
          <w:tcPr>
            <w:tcW w:w="1365" w:type="dxa"/>
            <w:shd w:val="pct10" w:color="auto" w:fill="auto"/>
          </w:tcPr>
          <w:p w14:paraId="5080DF87" w14:textId="77777777" w:rsidR="00F15D0E" w:rsidRDefault="008E1E76" w:rsidP="001110F2">
            <w:pPr>
              <w:spacing w:line="276" w:lineRule="auto"/>
              <w:jc w:val="center"/>
              <w:rPr>
                <w:b/>
                <w:color w:val="000000"/>
                <w:sz w:val="20"/>
              </w:rPr>
            </w:pPr>
            <w:r>
              <w:rPr>
                <w:b/>
                <w:color w:val="000000"/>
                <w:sz w:val="20"/>
              </w:rPr>
              <w:t>Iš viso</w:t>
            </w:r>
          </w:p>
        </w:tc>
        <w:tc>
          <w:tcPr>
            <w:tcW w:w="1261" w:type="dxa"/>
            <w:shd w:val="pct10" w:color="auto" w:fill="auto"/>
          </w:tcPr>
          <w:p w14:paraId="5080DF88" w14:textId="77777777" w:rsidR="00F15D0E" w:rsidRDefault="008E1E76" w:rsidP="001110F2">
            <w:pPr>
              <w:spacing w:line="276" w:lineRule="auto"/>
              <w:jc w:val="center"/>
              <w:rPr>
                <w:b/>
                <w:color w:val="000000"/>
                <w:sz w:val="20"/>
              </w:rPr>
            </w:pPr>
            <w:r>
              <w:rPr>
                <w:b/>
                <w:color w:val="000000"/>
                <w:sz w:val="20"/>
              </w:rPr>
              <w:t>Iš jų ES, kitos tarptautinės finansinės paramos ir valstybės biudžeto lėšų suma</w:t>
            </w:r>
          </w:p>
        </w:tc>
        <w:tc>
          <w:tcPr>
            <w:tcW w:w="940" w:type="dxa"/>
            <w:shd w:val="pct10" w:color="auto" w:fill="auto"/>
          </w:tcPr>
          <w:p w14:paraId="5080DF89" w14:textId="77777777" w:rsidR="00F15D0E" w:rsidRDefault="008E1E76" w:rsidP="001110F2">
            <w:pPr>
              <w:spacing w:line="276" w:lineRule="auto"/>
              <w:jc w:val="center"/>
              <w:rPr>
                <w:b/>
                <w:color w:val="000000"/>
                <w:sz w:val="20"/>
              </w:rPr>
            </w:pPr>
            <w:r>
              <w:rPr>
                <w:b/>
                <w:color w:val="000000"/>
                <w:sz w:val="20"/>
              </w:rPr>
              <w:t>Tarpinė reikšmė (metai)</w:t>
            </w:r>
          </w:p>
        </w:tc>
        <w:tc>
          <w:tcPr>
            <w:tcW w:w="988" w:type="dxa"/>
            <w:shd w:val="pct10" w:color="auto" w:fill="auto"/>
          </w:tcPr>
          <w:p w14:paraId="5080DF8A" w14:textId="77777777" w:rsidR="00F15D0E" w:rsidRDefault="008E1E76" w:rsidP="001110F2">
            <w:pPr>
              <w:spacing w:line="276" w:lineRule="auto"/>
              <w:jc w:val="center"/>
              <w:rPr>
                <w:b/>
                <w:color w:val="000000"/>
                <w:sz w:val="20"/>
              </w:rPr>
            </w:pPr>
            <w:r>
              <w:rPr>
                <w:b/>
                <w:color w:val="000000"/>
                <w:sz w:val="20"/>
              </w:rPr>
              <w:t>Galutinė reikšmė (metai)</w:t>
            </w:r>
          </w:p>
          <w:p w14:paraId="5080DF8B" w14:textId="77777777" w:rsidR="00F15D0E" w:rsidRDefault="00F15D0E" w:rsidP="001110F2">
            <w:pPr>
              <w:spacing w:line="276" w:lineRule="auto"/>
              <w:jc w:val="center"/>
              <w:rPr>
                <w:b/>
                <w:color w:val="000000"/>
                <w:sz w:val="20"/>
              </w:rPr>
            </w:pPr>
          </w:p>
        </w:tc>
        <w:tc>
          <w:tcPr>
            <w:tcW w:w="6017" w:type="dxa"/>
            <w:vMerge/>
            <w:shd w:val="pct10" w:color="auto" w:fill="auto"/>
          </w:tcPr>
          <w:p w14:paraId="5080DF8C" w14:textId="77777777" w:rsidR="00F15D0E" w:rsidRDefault="00F15D0E" w:rsidP="001110F2">
            <w:pPr>
              <w:spacing w:line="276" w:lineRule="auto"/>
              <w:jc w:val="both"/>
              <w:rPr>
                <w:b/>
                <w:i/>
                <w:color w:val="000000"/>
                <w:sz w:val="20"/>
              </w:rPr>
            </w:pPr>
          </w:p>
        </w:tc>
      </w:tr>
      <w:tr w:rsidR="00F15D0E" w14:paraId="5080DF96" w14:textId="77777777" w:rsidTr="00383AF8">
        <w:tc>
          <w:tcPr>
            <w:tcW w:w="1138" w:type="dxa"/>
            <w:shd w:val="pct10" w:color="auto" w:fill="auto"/>
          </w:tcPr>
          <w:p w14:paraId="5080DF8E" w14:textId="77777777" w:rsidR="00F15D0E" w:rsidRDefault="008E1E76" w:rsidP="001110F2">
            <w:pPr>
              <w:spacing w:line="276" w:lineRule="auto"/>
              <w:jc w:val="center"/>
              <w:rPr>
                <w:b/>
                <w:color w:val="000000"/>
                <w:sz w:val="22"/>
                <w:szCs w:val="22"/>
              </w:rPr>
            </w:pPr>
            <w:r>
              <w:rPr>
                <w:b/>
                <w:color w:val="000000"/>
                <w:sz w:val="22"/>
                <w:szCs w:val="22"/>
              </w:rPr>
              <w:t>1</w:t>
            </w:r>
          </w:p>
        </w:tc>
        <w:tc>
          <w:tcPr>
            <w:tcW w:w="1426" w:type="dxa"/>
            <w:shd w:val="pct10" w:color="auto" w:fill="auto"/>
          </w:tcPr>
          <w:p w14:paraId="5080DF8F" w14:textId="77777777" w:rsidR="00F15D0E" w:rsidRDefault="008E1E76" w:rsidP="001110F2">
            <w:pPr>
              <w:spacing w:line="276" w:lineRule="auto"/>
              <w:jc w:val="center"/>
              <w:rPr>
                <w:b/>
                <w:color w:val="000000"/>
                <w:sz w:val="22"/>
                <w:szCs w:val="22"/>
              </w:rPr>
            </w:pPr>
            <w:r>
              <w:rPr>
                <w:b/>
                <w:color w:val="000000"/>
                <w:sz w:val="22"/>
                <w:szCs w:val="22"/>
              </w:rPr>
              <w:t>2</w:t>
            </w:r>
          </w:p>
        </w:tc>
        <w:tc>
          <w:tcPr>
            <w:tcW w:w="894" w:type="dxa"/>
            <w:shd w:val="pct10" w:color="auto" w:fill="auto"/>
          </w:tcPr>
          <w:p w14:paraId="5080DF90" w14:textId="77777777" w:rsidR="00F15D0E" w:rsidRDefault="008E1E76" w:rsidP="001110F2">
            <w:pPr>
              <w:spacing w:line="276" w:lineRule="auto"/>
              <w:jc w:val="center"/>
              <w:rPr>
                <w:b/>
                <w:color w:val="000000"/>
                <w:sz w:val="22"/>
                <w:szCs w:val="22"/>
              </w:rPr>
            </w:pPr>
            <w:r>
              <w:rPr>
                <w:b/>
                <w:color w:val="000000"/>
                <w:sz w:val="22"/>
                <w:szCs w:val="22"/>
              </w:rPr>
              <w:t>3</w:t>
            </w:r>
          </w:p>
        </w:tc>
        <w:tc>
          <w:tcPr>
            <w:tcW w:w="1365" w:type="dxa"/>
            <w:shd w:val="pct10" w:color="auto" w:fill="auto"/>
          </w:tcPr>
          <w:p w14:paraId="5080DF91" w14:textId="77777777" w:rsidR="00F15D0E" w:rsidRDefault="008E1E76" w:rsidP="001110F2">
            <w:pPr>
              <w:spacing w:line="276" w:lineRule="auto"/>
              <w:jc w:val="center"/>
              <w:rPr>
                <w:b/>
                <w:color w:val="000000"/>
                <w:sz w:val="22"/>
                <w:szCs w:val="22"/>
              </w:rPr>
            </w:pPr>
            <w:r>
              <w:rPr>
                <w:b/>
                <w:color w:val="000000"/>
                <w:sz w:val="22"/>
                <w:szCs w:val="22"/>
              </w:rPr>
              <w:t>4</w:t>
            </w:r>
          </w:p>
        </w:tc>
        <w:tc>
          <w:tcPr>
            <w:tcW w:w="1261" w:type="dxa"/>
            <w:shd w:val="pct10" w:color="auto" w:fill="auto"/>
          </w:tcPr>
          <w:p w14:paraId="5080DF92" w14:textId="77777777" w:rsidR="00F15D0E" w:rsidRDefault="008E1E76" w:rsidP="001110F2">
            <w:pPr>
              <w:spacing w:line="276" w:lineRule="auto"/>
              <w:jc w:val="center"/>
              <w:rPr>
                <w:b/>
                <w:color w:val="000000"/>
                <w:sz w:val="22"/>
                <w:szCs w:val="22"/>
              </w:rPr>
            </w:pPr>
            <w:r>
              <w:rPr>
                <w:b/>
                <w:color w:val="000000"/>
                <w:sz w:val="22"/>
                <w:szCs w:val="22"/>
              </w:rPr>
              <w:t>5</w:t>
            </w:r>
          </w:p>
        </w:tc>
        <w:tc>
          <w:tcPr>
            <w:tcW w:w="940" w:type="dxa"/>
            <w:shd w:val="pct10" w:color="auto" w:fill="auto"/>
          </w:tcPr>
          <w:p w14:paraId="5080DF93" w14:textId="77777777" w:rsidR="00F15D0E" w:rsidRDefault="008E1E76" w:rsidP="001110F2">
            <w:pPr>
              <w:spacing w:line="276" w:lineRule="auto"/>
              <w:jc w:val="center"/>
              <w:rPr>
                <w:b/>
                <w:color w:val="000000"/>
                <w:sz w:val="22"/>
                <w:szCs w:val="22"/>
              </w:rPr>
            </w:pPr>
            <w:r>
              <w:rPr>
                <w:b/>
                <w:color w:val="000000"/>
                <w:sz w:val="22"/>
                <w:szCs w:val="22"/>
              </w:rPr>
              <w:t>6</w:t>
            </w:r>
          </w:p>
        </w:tc>
        <w:tc>
          <w:tcPr>
            <w:tcW w:w="988" w:type="dxa"/>
            <w:shd w:val="pct10" w:color="auto" w:fill="auto"/>
          </w:tcPr>
          <w:p w14:paraId="5080DF94" w14:textId="77777777" w:rsidR="00F15D0E" w:rsidRDefault="008E1E76" w:rsidP="001110F2">
            <w:pPr>
              <w:spacing w:line="276" w:lineRule="auto"/>
              <w:jc w:val="center"/>
              <w:rPr>
                <w:b/>
                <w:color w:val="000000"/>
                <w:sz w:val="22"/>
                <w:szCs w:val="22"/>
              </w:rPr>
            </w:pPr>
            <w:r>
              <w:rPr>
                <w:b/>
                <w:color w:val="000000"/>
                <w:sz w:val="22"/>
                <w:szCs w:val="22"/>
              </w:rPr>
              <w:t>7</w:t>
            </w:r>
          </w:p>
        </w:tc>
        <w:tc>
          <w:tcPr>
            <w:tcW w:w="6017" w:type="dxa"/>
            <w:shd w:val="pct10" w:color="auto" w:fill="auto"/>
          </w:tcPr>
          <w:p w14:paraId="5080DF95" w14:textId="77777777" w:rsidR="00F15D0E" w:rsidRDefault="008E1E76" w:rsidP="001110F2">
            <w:pPr>
              <w:spacing w:line="276" w:lineRule="auto"/>
              <w:jc w:val="center"/>
              <w:rPr>
                <w:b/>
                <w:color w:val="000000"/>
                <w:sz w:val="22"/>
                <w:szCs w:val="22"/>
              </w:rPr>
            </w:pPr>
            <w:r>
              <w:rPr>
                <w:b/>
                <w:color w:val="000000"/>
                <w:sz w:val="22"/>
                <w:szCs w:val="22"/>
              </w:rPr>
              <w:t>8</w:t>
            </w:r>
          </w:p>
        </w:tc>
      </w:tr>
      <w:tr w:rsidR="00383AF8" w14:paraId="5080DF9F" w14:textId="77777777" w:rsidTr="00383AF8">
        <w:trPr>
          <w:trHeight w:val="1405"/>
        </w:trPr>
        <w:tc>
          <w:tcPr>
            <w:tcW w:w="1138" w:type="dxa"/>
          </w:tcPr>
          <w:p w14:paraId="5080DF97" w14:textId="761404C5" w:rsidR="00383AF8" w:rsidRPr="002D0854" w:rsidRDefault="00383AF8" w:rsidP="00383AF8">
            <w:pPr>
              <w:spacing w:line="276" w:lineRule="auto"/>
              <w:jc w:val="both"/>
              <w:rPr>
                <w:iCs/>
                <w:sz w:val="18"/>
                <w:szCs w:val="18"/>
              </w:rPr>
            </w:pPr>
            <w:r w:rsidRPr="002A0F8D">
              <w:rPr>
                <w:iCs/>
                <w:sz w:val="18"/>
                <w:szCs w:val="18"/>
              </w:rPr>
              <w:t>R.S.2.3039</w:t>
            </w:r>
          </w:p>
        </w:tc>
        <w:tc>
          <w:tcPr>
            <w:tcW w:w="1426" w:type="dxa"/>
          </w:tcPr>
          <w:p w14:paraId="5080DF98" w14:textId="27D55FFF" w:rsidR="00383AF8" w:rsidRPr="002A0F8D" w:rsidRDefault="00383AF8" w:rsidP="00383AF8">
            <w:pPr>
              <w:rPr>
                <w:iCs/>
                <w:sz w:val="18"/>
                <w:szCs w:val="18"/>
              </w:rPr>
            </w:pPr>
            <w:r w:rsidRPr="002A0F8D">
              <w:rPr>
                <w:iCs/>
                <w:sz w:val="18"/>
                <w:szCs w:val="18"/>
              </w:rPr>
              <w:t>Metinis konsoliduotų viešųjų paslaugų vartotojų skaičiu</w:t>
            </w:r>
            <w:r>
              <w:rPr>
                <w:iCs/>
                <w:sz w:val="18"/>
                <w:szCs w:val="18"/>
              </w:rPr>
              <w:t>s (vartotojai per metus)</w:t>
            </w:r>
          </w:p>
        </w:tc>
        <w:tc>
          <w:tcPr>
            <w:tcW w:w="894" w:type="dxa"/>
          </w:tcPr>
          <w:p w14:paraId="47CC1E8F" w14:textId="77777777" w:rsidR="00383AF8" w:rsidRDefault="00383AF8" w:rsidP="00383AF8">
            <w:pPr>
              <w:spacing w:line="276" w:lineRule="auto"/>
              <w:jc w:val="center"/>
              <w:rPr>
                <w:iCs/>
                <w:sz w:val="18"/>
                <w:szCs w:val="18"/>
              </w:rPr>
            </w:pPr>
            <w:r>
              <w:rPr>
                <w:iCs/>
                <w:sz w:val="18"/>
                <w:szCs w:val="18"/>
              </w:rPr>
              <w:t>0</w:t>
            </w:r>
          </w:p>
          <w:p w14:paraId="5080DF99" w14:textId="7CBD253E" w:rsidR="00383AF8" w:rsidRPr="002D0854" w:rsidRDefault="00383AF8" w:rsidP="00383AF8">
            <w:pPr>
              <w:spacing w:line="276" w:lineRule="auto"/>
              <w:jc w:val="center"/>
              <w:rPr>
                <w:iCs/>
                <w:sz w:val="18"/>
                <w:szCs w:val="18"/>
              </w:rPr>
            </w:pPr>
            <w:r>
              <w:rPr>
                <w:iCs/>
                <w:sz w:val="18"/>
                <w:szCs w:val="18"/>
              </w:rPr>
              <w:t>(2022)</w:t>
            </w:r>
          </w:p>
        </w:tc>
        <w:tc>
          <w:tcPr>
            <w:tcW w:w="1365" w:type="dxa"/>
            <w:vMerge w:val="restart"/>
          </w:tcPr>
          <w:p w14:paraId="5080DF9A" w14:textId="2BD37FA2" w:rsidR="00383AF8" w:rsidRPr="00C16FA2" w:rsidRDefault="00383AF8" w:rsidP="00383AF8">
            <w:pPr>
              <w:spacing w:line="276" w:lineRule="auto"/>
              <w:jc w:val="center"/>
              <w:rPr>
                <w:iCs/>
                <w:sz w:val="18"/>
                <w:szCs w:val="18"/>
              </w:rPr>
            </w:pPr>
            <w:r w:rsidRPr="00C16FA2">
              <w:rPr>
                <w:sz w:val="18"/>
                <w:szCs w:val="18"/>
              </w:rPr>
              <w:t>46 204 654,05</w:t>
            </w:r>
          </w:p>
        </w:tc>
        <w:tc>
          <w:tcPr>
            <w:tcW w:w="1261" w:type="dxa"/>
            <w:vMerge w:val="restart"/>
          </w:tcPr>
          <w:p w14:paraId="5080DF9B" w14:textId="6CF6464E" w:rsidR="00383AF8" w:rsidRPr="00C16FA2" w:rsidRDefault="00383AF8" w:rsidP="00383AF8">
            <w:pPr>
              <w:spacing w:line="276" w:lineRule="auto"/>
              <w:jc w:val="center"/>
              <w:rPr>
                <w:iCs/>
                <w:sz w:val="18"/>
                <w:szCs w:val="18"/>
              </w:rPr>
            </w:pPr>
            <w:r w:rsidRPr="00C16FA2">
              <w:rPr>
                <w:sz w:val="18"/>
                <w:szCs w:val="18"/>
              </w:rPr>
              <w:t>39 273 309,09</w:t>
            </w:r>
          </w:p>
        </w:tc>
        <w:tc>
          <w:tcPr>
            <w:tcW w:w="940" w:type="dxa"/>
          </w:tcPr>
          <w:p w14:paraId="5080DF9C" w14:textId="06C6CD3B" w:rsidR="00383AF8" w:rsidRPr="002D0854" w:rsidRDefault="00383AF8" w:rsidP="00383AF8">
            <w:pPr>
              <w:spacing w:line="276" w:lineRule="auto"/>
              <w:jc w:val="center"/>
              <w:rPr>
                <w:iCs/>
                <w:sz w:val="18"/>
                <w:szCs w:val="18"/>
              </w:rPr>
            </w:pPr>
            <w:r>
              <w:rPr>
                <w:iCs/>
                <w:sz w:val="18"/>
                <w:szCs w:val="18"/>
              </w:rPr>
              <w:t>-</w:t>
            </w:r>
          </w:p>
        </w:tc>
        <w:tc>
          <w:tcPr>
            <w:tcW w:w="988" w:type="dxa"/>
          </w:tcPr>
          <w:p w14:paraId="32B26737" w14:textId="6F5ACF99" w:rsidR="00383AF8" w:rsidRDefault="00383AF8" w:rsidP="00383AF8">
            <w:pPr>
              <w:spacing w:line="276" w:lineRule="auto"/>
              <w:jc w:val="center"/>
              <w:rPr>
                <w:iCs/>
                <w:sz w:val="18"/>
                <w:szCs w:val="18"/>
              </w:rPr>
            </w:pPr>
            <w:r w:rsidRPr="002A0F8D">
              <w:rPr>
                <w:iCs/>
                <w:sz w:val="18"/>
                <w:szCs w:val="18"/>
              </w:rPr>
              <w:t>415</w:t>
            </w:r>
            <w:r>
              <w:rPr>
                <w:iCs/>
                <w:sz w:val="18"/>
                <w:szCs w:val="18"/>
              </w:rPr>
              <w:t> </w:t>
            </w:r>
            <w:r w:rsidRPr="002A0F8D">
              <w:rPr>
                <w:iCs/>
                <w:sz w:val="18"/>
                <w:szCs w:val="18"/>
              </w:rPr>
              <w:t>800</w:t>
            </w:r>
          </w:p>
          <w:p w14:paraId="5080DF9D" w14:textId="7802319D" w:rsidR="00383AF8" w:rsidRPr="002D0854" w:rsidRDefault="00383AF8" w:rsidP="00383AF8">
            <w:pPr>
              <w:spacing w:line="276" w:lineRule="auto"/>
              <w:jc w:val="center"/>
              <w:rPr>
                <w:iCs/>
                <w:sz w:val="18"/>
                <w:szCs w:val="18"/>
              </w:rPr>
            </w:pPr>
            <w:r>
              <w:rPr>
                <w:iCs/>
                <w:sz w:val="18"/>
                <w:szCs w:val="18"/>
              </w:rPr>
              <w:t>(2029)</w:t>
            </w:r>
          </w:p>
        </w:tc>
        <w:tc>
          <w:tcPr>
            <w:tcW w:w="6017" w:type="dxa"/>
          </w:tcPr>
          <w:p w14:paraId="5080DF9E" w14:textId="7377A2C0" w:rsidR="00383AF8" w:rsidRPr="00866AB2" w:rsidRDefault="00383AF8" w:rsidP="00383AF8">
            <w:pPr>
              <w:spacing w:line="276" w:lineRule="auto"/>
              <w:jc w:val="both"/>
              <w:rPr>
                <w:iCs/>
                <w:color w:val="808080"/>
                <w:sz w:val="16"/>
                <w:szCs w:val="16"/>
              </w:rPr>
            </w:pPr>
            <w:r w:rsidRPr="00866AB2">
              <w:rPr>
                <w:iCs/>
                <w:sz w:val="18"/>
                <w:szCs w:val="18"/>
              </w:rPr>
              <w:t xml:space="preserve">Rodiklis   atitinka   2021–2027   metų   Europos Sąjungos fondų investicijų programos (toliau – IP) 5.1. konkrečiam uždaviniui „Skatinti integruotą ir įtraukią socialinę, ekonominę ir aplinkosaugos plėtrą, puoselėti kultūrą, gamtos paveldą, darnų turizmą ir saugumą miestų teritorijose“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r>
              <w:rPr>
                <w:iCs/>
                <w:sz w:val="18"/>
                <w:szCs w:val="18"/>
              </w:rPr>
              <w:t xml:space="preserve"> bei Tvarios </w:t>
            </w:r>
          </w:p>
        </w:tc>
      </w:tr>
      <w:tr w:rsidR="00357344" w14:paraId="222FFD6C" w14:textId="77777777" w:rsidTr="00383AF8">
        <w:tc>
          <w:tcPr>
            <w:tcW w:w="1138" w:type="dxa"/>
          </w:tcPr>
          <w:p w14:paraId="03909838" w14:textId="3E796FCD" w:rsidR="00357344" w:rsidRPr="002A0F8D" w:rsidRDefault="00357344" w:rsidP="00357344">
            <w:pPr>
              <w:spacing w:line="276" w:lineRule="auto"/>
              <w:jc w:val="both"/>
              <w:rPr>
                <w:iCs/>
                <w:sz w:val="18"/>
                <w:szCs w:val="18"/>
              </w:rPr>
            </w:pPr>
            <w:r w:rsidRPr="002A0F8D">
              <w:rPr>
                <w:iCs/>
                <w:sz w:val="18"/>
                <w:szCs w:val="18"/>
              </w:rPr>
              <w:lastRenderedPageBreak/>
              <w:t>R.B.2.2052</w:t>
            </w:r>
          </w:p>
        </w:tc>
        <w:tc>
          <w:tcPr>
            <w:tcW w:w="1426" w:type="dxa"/>
          </w:tcPr>
          <w:p w14:paraId="5D2C58E2" w14:textId="586A7B6F" w:rsidR="00357344" w:rsidRPr="002A0F8D" w:rsidRDefault="00357344" w:rsidP="00BF6431">
            <w:pPr>
              <w:jc w:val="both"/>
              <w:rPr>
                <w:iCs/>
                <w:sz w:val="18"/>
                <w:szCs w:val="18"/>
              </w:rPr>
            </w:pPr>
            <w:r w:rsidRPr="002A0F8D">
              <w:rPr>
                <w:iCs/>
                <w:sz w:val="18"/>
                <w:szCs w:val="18"/>
              </w:rPr>
              <w:t>Rekultivuota žemė, naudojama žaliesiems plotams, socialiniams būstams, ekonominei arba kitai paskirčiai</w:t>
            </w:r>
            <w:r w:rsidR="00BB3971">
              <w:rPr>
                <w:iCs/>
                <w:sz w:val="18"/>
                <w:szCs w:val="18"/>
              </w:rPr>
              <w:t xml:space="preserve"> (</w:t>
            </w:r>
            <w:r>
              <w:rPr>
                <w:iCs/>
                <w:sz w:val="18"/>
                <w:szCs w:val="18"/>
              </w:rPr>
              <w:t>hektarai</w:t>
            </w:r>
            <w:r w:rsidR="00BB3971">
              <w:rPr>
                <w:iCs/>
                <w:sz w:val="18"/>
                <w:szCs w:val="18"/>
              </w:rPr>
              <w:t>)</w:t>
            </w:r>
          </w:p>
        </w:tc>
        <w:tc>
          <w:tcPr>
            <w:tcW w:w="894" w:type="dxa"/>
          </w:tcPr>
          <w:p w14:paraId="7F4ABECB" w14:textId="77777777" w:rsidR="00357344" w:rsidRDefault="00357344" w:rsidP="00357344">
            <w:pPr>
              <w:spacing w:line="276" w:lineRule="auto"/>
              <w:jc w:val="center"/>
              <w:rPr>
                <w:iCs/>
                <w:sz w:val="18"/>
                <w:szCs w:val="18"/>
              </w:rPr>
            </w:pPr>
            <w:r>
              <w:rPr>
                <w:iCs/>
                <w:sz w:val="18"/>
                <w:szCs w:val="18"/>
              </w:rPr>
              <w:t>0</w:t>
            </w:r>
          </w:p>
          <w:p w14:paraId="095ACD51" w14:textId="71867AF0" w:rsidR="00357344" w:rsidRDefault="00357344" w:rsidP="00357344">
            <w:pPr>
              <w:spacing w:line="276" w:lineRule="auto"/>
              <w:jc w:val="center"/>
              <w:rPr>
                <w:iCs/>
                <w:sz w:val="18"/>
                <w:szCs w:val="18"/>
              </w:rPr>
            </w:pPr>
            <w:r>
              <w:rPr>
                <w:iCs/>
                <w:sz w:val="18"/>
                <w:szCs w:val="18"/>
              </w:rPr>
              <w:t>(2022)</w:t>
            </w:r>
          </w:p>
        </w:tc>
        <w:tc>
          <w:tcPr>
            <w:tcW w:w="1365" w:type="dxa"/>
            <w:vMerge/>
          </w:tcPr>
          <w:p w14:paraId="7B834F86" w14:textId="77777777" w:rsidR="00357344" w:rsidRPr="002D0854" w:rsidRDefault="00357344" w:rsidP="00357344">
            <w:pPr>
              <w:spacing w:line="276" w:lineRule="auto"/>
              <w:jc w:val="center"/>
              <w:rPr>
                <w:iCs/>
                <w:sz w:val="18"/>
                <w:szCs w:val="18"/>
              </w:rPr>
            </w:pPr>
          </w:p>
        </w:tc>
        <w:tc>
          <w:tcPr>
            <w:tcW w:w="1261" w:type="dxa"/>
            <w:vMerge/>
          </w:tcPr>
          <w:p w14:paraId="778EC33C" w14:textId="77777777" w:rsidR="00357344" w:rsidRPr="002D0854" w:rsidRDefault="00357344" w:rsidP="00357344">
            <w:pPr>
              <w:spacing w:line="276" w:lineRule="auto"/>
              <w:jc w:val="center"/>
              <w:rPr>
                <w:iCs/>
                <w:sz w:val="18"/>
                <w:szCs w:val="18"/>
              </w:rPr>
            </w:pPr>
          </w:p>
        </w:tc>
        <w:tc>
          <w:tcPr>
            <w:tcW w:w="940" w:type="dxa"/>
          </w:tcPr>
          <w:p w14:paraId="3AE4C2DE" w14:textId="4F273981" w:rsidR="00357344" w:rsidRDefault="00357344" w:rsidP="00357344">
            <w:pPr>
              <w:spacing w:line="276" w:lineRule="auto"/>
              <w:jc w:val="center"/>
              <w:rPr>
                <w:iCs/>
                <w:sz w:val="18"/>
                <w:szCs w:val="18"/>
              </w:rPr>
            </w:pPr>
            <w:r>
              <w:rPr>
                <w:iCs/>
                <w:sz w:val="18"/>
                <w:szCs w:val="18"/>
              </w:rPr>
              <w:t>-</w:t>
            </w:r>
          </w:p>
        </w:tc>
        <w:tc>
          <w:tcPr>
            <w:tcW w:w="988" w:type="dxa"/>
          </w:tcPr>
          <w:p w14:paraId="72B4FB00" w14:textId="77FAA569" w:rsidR="00357344" w:rsidRDefault="00357344" w:rsidP="00357344">
            <w:pPr>
              <w:spacing w:line="276" w:lineRule="auto"/>
              <w:jc w:val="center"/>
              <w:rPr>
                <w:iCs/>
                <w:sz w:val="18"/>
                <w:szCs w:val="18"/>
              </w:rPr>
            </w:pPr>
            <w:r>
              <w:rPr>
                <w:iCs/>
                <w:sz w:val="18"/>
                <w:szCs w:val="18"/>
              </w:rPr>
              <w:t>6,</w:t>
            </w:r>
            <w:r w:rsidR="00BF6431">
              <w:rPr>
                <w:iCs/>
                <w:sz w:val="18"/>
                <w:szCs w:val="18"/>
              </w:rPr>
              <w:t>35</w:t>
            </w:r>
          </w:p>
          <w:p w14:paraId="7514920A" w14:textId="7D513642" w:rsidR="00642BBC" w:rsidRPr="002A0F8D" w:rsidRDefault="00642BBC" w:rsidP="00357344">
            <w:pPr>
              <w:spacing w:line="276" w:lineRule="auto"/>
              <w:jc w:val="center"/>
              <w:rPr>
                <w:iCs/>
                <w:sz w:val="18"/>
                <w:szCs w:val="18"/>
              </w:rPr>
            </w:pPr>
            <w:r>
              <w:rPr>
                <w:iCs/>
                <w:sz w:val="18"/>
                <w:szCs w:val="18"/>
              </w:rPr>
              <w:t>(2029)</w:t>
            </w:r>
          </w:p>
        </w:tc>
        <w:tc>
          <w:tcPr>
            <w:tcW w:w="6017" w:type="dxa"/>
          </w:tcPr>
          <w:p w14:paraId="31339035" w14:textId="69037CBF" w:rsidR="00357344" w:rsidRPr="00866AB2" w:rsidRDefault="004E5276" w:rsidP="00357344">
            <w:pPr>
              <w:spacing w:line="276" w:lineRule="auto"/>
              <w:jc w:val="both"/>
              <w:rPr>
                <w:iCs/>
                <w:sz w:val="18"/>
                <w:szCs w:val="18"/>
              </w:rPr>
            </w:pPr>
            <w:r w:rsidRPr="00866AB2">
              <w:rPr>
                <w:iCs/>
                <w:sz w:val="18"/>
                <w:szCs w:val="18"/>
              </w:rPr>
              <w:t xml:space="preserve">Rodiklis   atitinka   2021–2027   metų   Europos Sąjungos fondų investicijų programos (toliau – IP) 5.1. konkrečiam uždaviniui „Skatinti integruotą ir įtraukią socialinę, ekonominę ir aplinkosaugos plėtrą, puoselėti kultūrą, gamtos paveldą, darnų turizmą ir saugumą miestų teritorijose“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r w:rsidR="00C1557A">
              <w:rPr>
                <w:iCs/>
                <w:sz w:val="18"/>
                <w:szCs w:val="18"/>
              </w:rPr>
              <w:t xml:space="preserve"> Atitinkami rodikliai suplanuoti ir </w:t>
            </w:r>
            <w:r w:rsidR="00C1557A" w:rsidRPr="00426F97">
              <w:rPr>
                <w:iCs/>
                <w:sz w:val="18"/>
                <w:szCs w:val="18"/>
              </w:rPr>
              <w:t>Tvarios Klaipėdos miesto plėtros 2023–2029 metų strategij</w:t>
            </w:r>
            <w:r w:rsidR="00C1557A">
              <w:rPr>
                <w:iCs/>
                <w:sz w:val="18"/>
                <w:szCs w:val="18"/>
              </w:rPr>
              <w:t>oje.</w:t>
            </w:r>
          </w:p>
        </w:tc>
      </w:tr>
      <w:tr w:rsidR="00357344" w14:paraId="52B7BFD4" w14:textId="77777777" w:rsidTr="00383AF8">
        <w:tc>
          <w:tcPr>
            <w:tcW w:w="1138" w:type="dxa"/>
          </w:tcPr>
          <w:p w14:paraId="4E2821BE" w14:textId="439BBCE4" w:rsidR="00357344" w:rsidRPr="002A0F8D" w:rsidRDefault="00357344" w:rsidP="00357344">
            <w:pPr>
              <w:spacing w:line="276" w:lineRule="auto"/>
              <w:jc w:val="both"/>
              <w:rPr>
                <w:iCs/>
                <w:sz w:val="18"/>
                <w:szCs w:val="18"/>
              </w:rPr>
            </w:pPr>
            <w:r w:rsidRPr="002A0F8D">
              <w:rPr>
                <w:iCs/>
                <w:sz w:val="18"/>
                <w:szCs w:val="18"/>
              </w:rPr>
              <w:t>R.N.2.5720</w:t>
            </w:r>
          </w:p>
        </w:tc>
        <w:tc>
          <w:tcPr>
            <w:tcW w:w="1426" w:type="dxa"/>
          </w:tcPr>
          <w:p w14:paraId="74A35D1F" w14:textId="43F11759" w:rsidR="00357344" w:rsidRPr="002A0F8D" w:rsidRDefault="00357344" w:rsidP="00F5083C">
            <w:pPr>
              <w:rPr>
                <w:iCs/>
                <w:sz w:val="18"/>
                <w:szCs w:val="18"/>
              </w:rPr>
            </w:pPr>
            <w:r w:rsidRPr="002A0F8D">
              <w:rPr>
                <w:iCs/>
                <w:sz w:val="18"/>
                <w:szCs w:val="18"/>
              </w:rPr>
              <w:t>Sukurtos arba atkurtos teritorijos, naudojamos ekonominei, rekreacinei ar turizmo paskirčiai</w:t>
            </w:r>
            <w:r w:rsidR="00BB3971">
              <w:rPr>
                <w:iCs/>
                <w:sz w:val="18"/>
                <w:szCs w:val="18"/>
              </w:rPr>
              <w:t xml:space="preserve"> (</w:t>
            </w:r>
            <w:r>
              <w:rPr>
                <w:iCs/>
                <w:sz w:val="18"/>
                <w:szCs w:val="18"/>
              </w:rPr>
              <w:t>hektarai</w:t>
            </w:r>
            <w:r w:rsidR="00BB3971">
              <w:rPr>
                <w:iCs/>
                <w:sz w:val="18"/>
                <w:szCs w:val="18"/>
              </w:rPr>
              <w:t>)</w:t>
            </w:r>
          </w:p>
        </w:tc>
        <w:tc>
          <w:tcPr>
            <w:tcW w:w="894" w:type="dxa"/>
          </w:tcPr>
          <w:p w14:paraId="31B49D13" w14:textId="77777777" w:rsidR="00357344" w:rsidRDefault="00357344" w:rsidP="00357344">
            <w:pPr>
              <w:spacing w:line="276" w:lineRule="auto"/>
              <w:jc w:val="center"/>
              <w:rPr>
                <w:iCs/>
                <w:sz w:val="18"/>
                <w:szCs w:val="18"/>
              </w:rPr>
            </w:pPr>
            <w:r>
              <w:rPr>
                <w:iCs/>
                <w:sz w:val="18"/>
                <w:szCs w:val="18"/>
              </w:rPr>
              <w:t>0</w:t>
            </w:r>
          </w:p>
          <w:p w14:paraId="3A386C11" w14:textId="78FAB837" w:rsidR="00357344" w:rsidRDefault="00357344" w:rsidP="00357344">
            <w:pPr>
              <w:spacing w:line="276" w:lineRule="auto"/>
              <w:jc w:val="center"/>
              <w:rPr>
                <w:iCs/>
                <w:sz w:val="18"/>
                <w:szCs w:val="18"/>
              </w:rPr>
            </w:pPr>
            <w:r>
              <w:rPr>
                <w:iCs/>
                <w:sz w:val="18"/>
                <w:szCs w:val="18"/>
              </w:rPr>
              <w:t>(2022)</w:t>
            </w:r>
          </w:p>
        </w:tc>
        <w:tc>
          <w:tcPr>
            <w:tcW w:w="1365" w:type="dxa"/>
            <w:vMerge/>
          </w:tcPr>
          <w:p w14:paraId="2196A11E" w14:textId="77777777" w:rsidR="00357344" w:rsidRPr="002D0854" w:rsidRDefault="00357344" w:rsidP="00357344">
            <w:pPr>
              <w:spacing w:line="276" w:lineRule="auto"/>
              <w:jc w:val="center"/>
              <w:rPr>
                <w:iCs/>
                <w:sz w:val="18"/>
                <w:szCs w:val="18"/>
              </w:rPr>
            </w:pPr>
          </w:p>
        </w:tc>
        <w:tc>
          <w:tcPr>
            <w:tcW w:w="1261" w:type="dxa"/>
            <w:vMerge/>
          </w:tcPr>
          <w:p w14:paraId="2AAFC6AE" w14:textId="77777777" w:rsidR="00357344" w:rsidRPr="002D0854" w:rsidRDefault="00357344" w:rsidP="00357344">
            <w:pPr>
              <w:spacing w:line="276" w:lineRule="auto"/>
              <w:jc w:val="center"/>
              <w:rPr>
                <w:iCs/>
                <w:sz w:val="18"/>
                <w:szCs w:val="18"/>
              </w:rPr>
            </w:pPr>
          </w:p>
        </w:tc>
        <w:tc>
          <w:tcPr>
            <w:tcW w:w="940" w:type="dxa"/>
          </w:tcPr>
          <w:p w14:paraId="3465BF54" w14:textId="20597CA7" w:rsidR="00357344" w:rsidRDefault="00357344" w:rsidP="00357344">
            <w:pPr>
              <w:spacing w:line="276" w:lineRule="auto"/>
              <w:jc w:val="center"/>
              <w:rPr>
                <w:iCs/>
                <w:sz w:val="18"/>
                <w:szCs w:val="18"/>
              </w:rPr>
            </w:pPr>
            <w:r>
              <w:rPr>
                <w:iCs/>
                <w:sz w:val="18"/>
                <w:szCs w:val="18"/>
              </w:rPr>
              <w:t>-</w:t>
            </w:r>
          </w:p>
        </w:tc>
        <w:tc>
          <w:tcPr>
            <w:tcW w:w="988" w:type="dxa"/>
          </w:tcPr>
          <w:p w14:paraId="3E69C33F" w14:textId="193EA27A" w:rsidR="00642BBC" w:rsidRDefault="00BF6431" w:rsidP="00357344">
            <w:pPr>
              <w:spacing w:line="276" w:lineRule="auto"/>
              <w:jc w:val="center"/>
              <w:rPr>
                <w:iCs/>
                <w:sz w:val="18"/>
                <w:szCs w:val="18"/>
              </w:rPr>
            </w:pPr>
            <w:r w:rsidRPr="00BF6431">
              <w:rPr>
                <w:iCs/>
                <w:sz w:val="18"/>
                <w:szCs w:val="18"/>
              </w:rPr>
              <w:t xml:space="preserve">3,89 </w:t>
            </w:r>
            <w:r w:rsidR="00642BBC">
              <w:rPr>
                <w:iCs/>
                <w:sz w:val="18"/>
                <w:szCs w:val="18"/>
              </w:rPr>
              <w:t>(2029)</w:t>
            </w:r>
          </w:p>
        </w:tc>
        <w:tc>
          <w:tcPr>
            <w:tcW w:w="6017" w:type="dxa"/>
          </w:tcPr>
          <w:p w14:paraId="7A741788" w14:textId="24BCFF37" w:rsidR="00357344" w:rsidRPr="00866AB2" w:rsidRDefault="006735DC" w:rsidP="00357344">
            <w:pPr>
              <w:spacing w:line="276" w:lineRule="auto"/>
              <w:jc w:val="both"/>
              <w:rPr>
                <w:iCs/>
                <w:sz w:val="18"/>
                <w:szCs w:val="18"/>
              </w:rPr>
            </w:pPr>
            <w:r w:rsidRPr="00866AB2">
              <w:rPr>
                <w:iCs/>
                <w:sz w:val="18"/>
                <w:szCs w:val="18"/>
              </w:rPr>
              <w:t xml:space="preserve">Rodiklis   atitinka   2021–2027   metų   Europos Sąjungos fondų investicijų programos (toliau – IP) 5.1. konkrečiam uždaviniui „Skatinti integruotą ir įtraukią socialinę, ekonominę ir aplinkosaugos plėtrą, puoselėti kultūrą, gamtos paveldą, darnų turizmą ir saugumą miestų teritorijose“ priskirtą </w:t>
            </w:r>
            <w:r>
              <w:rPr>
                <w:iCs/>
                <w:sz w:val="18"/>
                <w:szCs w:val="18"/>
              </w:rPr>
              <w:t xml:space="preserve">rezultato </w:t>
            </w:r>
            <w:r w:rsidRPr="00866AB2">
              <w:rPr>
                <w:iCs/>
                <w:sz w:val="18"/>
                <w:szCs w:val="18"/>
              </w:rPr>
              <w:t>rodiklį. Siektina tarpinė rodiklio reikšmė IP nenustatoma. Siektina galutinė rodiklio reikšmė apskaičiuota įvertinus  numatomų įgyvendinti projektų informaciją.</w:t>
            </w:r>
            <w:r w:rsidR="00C1557A">
              <w:rPr>
                <w:iCs/>
                <w:sz w:val="18"/>
                <w:szCs w:val="18"/>
              </w:rPr>
              <w:t xml:space="preserve"> Atitinkami rodikliai suplanuoti ir </w:t>
            </w:r>
            <w:r w:rsidR="00C1557A" w:rsidRPr="00426F97">
              <w:rPr>
                <w:iCs/>
                <w:sz w:val="18"/>
                <w:szCs w:val="18"/>
              </w:rPr>
              <w:t>Tvarios Klaipėdos miesto plėtros 2023–2029 metų strategij</w:t>
            </w:r>
            <w:r w:rsidR="00C1557A">
              <w:rPr>
                <w:iCs/>
                <w:sz w:val="18"/>
                <w:szCs w:val="18"/>
              </w:rPr>
              <w:t>oje.</w:t>
            </w:r>
          </w:p>
        </w:tc>
      </w:tr>
    </w:tbl>
    <w:p w14:paraId="5080DFB6" w14:textId="73BB33EA" w:rsidR="00F15D0E" w:rsidRDefault="00F15D0E" w:rsidP="001110F2">
      <w:pPr>
        <w:spacing w:line="276" w:lineRule="auto"/>
        <w:ind w:left="420" w:hanging="360"/>
        <w:jc w:val="both"/>
        <w:rPr>
          <w:i/>
          <w:color w:val="808080"/>
          <w:szCs w:val="24"/>
        </w:rPr>
      </w:pPr>
    </w:p>
    <w:p w14:paraId="5080DFB7" w14:textId="77777777" w:rsidR="00F15D0E" w:rsidRDefault="00F15D0E" w:rsidP="001110F2">
      <w:pPr>
        <w:spacing w:line="276" w:lineRule="auto"/>
        <w:ind w:left="420"/>
        <w:jc w:val="both"/>
        <w:rPr>
          <w:i/>
          <w:color w:val="80808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
        <w:gridCol w:w="2099"/>
        <w:gridCol w:w="283"/>
        <w:gridCol w:w="3396"/>
        <w:gridCol w:w="1423"/>
      </w:tblGrid>
      <w:tr w:rsidR="00F15D0E" w14:paraId="5080DFBD" w14:textId="77777777" w:rsidTr="00215EE1">
        <w:trPr>
          <w:gridAfter w:val="1"/>
          <w:wAfter w:w="1423" w:type="dxa"/>
          <w:jc w:val="center"/>
        </w:trPr>
        <w:tc>
          <w:tcPr>
            <w:tcW w:w="5240" w:type="dxa"/>
            <w:tcBorders>
              <w:top w:val="nil"/>
              <w:left w:val="nil"/>
              <w:bottom w:val="nil"/>
              <w:right w:val="nil"/>
            </w:tcBorders>
          </w:tcPr>
          <w:p w14:paraId="5080DFB8" w14:textId="3FD17F64" w:rsidR="00F15D0E" w:rsidRDefault="008E1E76" w:rsidP="00E009F7">
            <w:pPr>
              <w:suppressAutoHyphens/>
              <w:spacing w:line="276" w:lineRule="auto"/>
              <w:textAlignment w:val="baseline"/>
              <w:rPr>
                <w:bCs/>
                <w:szCs w:val="24"/>
              </w:rPr>
            </w:pPr>
            <w:r>
              <w:rPr>
                <w:szCs w:val="24"/>
              </w:rPr>
              <w:t>Regiono plėtros tarybos administracijos direktor</w:t>
            </w:r>
            <w:r w:rsidR="00B4508C">
              <w:rPr>
                <w:szCs w:val="24"/>
              </w:rPr>
              <w:t>ė</w:t>
            </w:r>
          </w:p>
        </w:tc>
        <w:tc>
          <w:tcPr>
            <w:tcW w:w="453" w:type="dxa"/>
            <w:tcBorders>
              <w:top w:val="nil"/>
              <w:left w:val="nil"/>
              <w:bottom w:val="nil"/>
              <w:right w:val="nil"/>
            </w:tcBorders>
          </w:tcPr>
          <w:p w14:paraId="5080DFB9" w14:textId="77777777" w:rsidR="00F15D0E" w:rsidRDefault="00F15D0E" w:rsidP="001110F2">
            <w:pPr>
              <w:suppressAutoHyphens/>
              <w:spacing w:line="276" w:lineRule="auto"/>
              <w:jc w:val="both"/>
              <w:textAlignment w:val="baseline"/>
              <w:rPr>
                <w:bCs/>
                <w:szCs w:val="24"/>
              </w:rPr>
            </w:pPr>
          </w:p>
        </w:tc>
        <w:tc>
          <w:tcPr>
            <w:tcW w:w="2099" w:type="dxa"/>
            <w:tcBorders>
              <w:top w:val="nil"/>
              <w:left w:val="nil"/>
              <w:bottom w:val="single" w:sz="4" w:space="0" w:color="auto"/>
              <w:right w:val="nil"/>
            </w:tcBorders>
          </w:tcPr>
          <w:p w14:paraId="5080DFBA" w14:textId="77777777" w:rsidR="00F15D0E" w:rsidRDefault="00F15D0E" w:rsidP="001110F2">
            <w:pPr>
              <w:suppressAutoHyphens/>
              <w:spacing w:line="276" w:lineRule="auto"/>
              <w:jc w:val="both"/>
              <w:textAlignment w:val="baseline"/>
              <w:rPr>
                <w:bCs/>
                <w:szCs w:val="24"/>
              </w:rPr>
            </w:pPr>
          </w:p>
        </w:tc>
        <w:tc>
          <w:tcPr>
            <w:tcW w:w="283" w:type="dxa"/>
            <w:tcBorders>
              <w:top w:val="nil"/>
              <w:left w:val="nil"/>
              <w:bottom w:val="nil"/>
              <w:right w:val="nil"/>
            </w:tcBorders>
          </w:tcPr>
          <w:p w14:paraId="5080DFBB" w14:textId="77777777" w:rsidR="00F15D0E" w:rsidRDefault="00F15D0E" w:rsidP="001110F2">
            <w:pPr>
              <w:suppressAutoHyphens/>
              <w:spacing w:line="276" w:lineRule="auto"/>
              <w:jc w:val="both"/>
              <w:textAlignment w:val="baseline"/>
              <w:rPr>
                <w:bCs/>
                <w:szCs w:val="24"/>
              </w:rPr>
            </w:pPr>
          </w:p>
        </w:tc>
        <w:tc>
          <w:tcPr>
            <w:tcW w:w="3396" w:type="dxa"/>
            <w:tcBorders>
              <w:top w:val="nil"/>
              <w:left w:val="nil"/>
              <w:bottom w:val="single" w:sz="4" w:space="0" w:color="auto"/>
              <w:right w:val="nil"/>
            </w:tcBorders>
            <w:vAlign w:val="bottom"/>
          </w:tcPr>
          <w:p w14:paraId="5080DFBC" w14:textId="3DB27D99" w:rsidR="00F15D0E" w:rsidRDefault="00B4508C" w:rsidP="00B4508C">
            <w:pPr>
              <w:suppressAutoHyphens/>
              <w:spacing w:line="276" w:lineRule="auto"/>
              <w:jc w:val="center"/>
              <w:textAlignment w:val="baseline"/>
              <w:rPr>
                <w:bCs/>
                <w:szCs w:val="24"/>
              </w:rPr>
            </w:pPr>
            <w:r>
              <w:rPr>
                <w:bCs/>
                <w:szCs w:val="24"/>
              </w:rPr>
              <w:t xml:space="preserve">                     Dalia Makuškienė</w:t>
            </w:r>
          </w:p>
        </w:tc>
      </w:tr>
      <w:tr w:rsidR="00F15D0E" w14:paraId="5080DFC3" w14:textId="77777777" w:rsidTr="00215EE1">
        <w:trPr>
          <w:jc w:val="center"/>
        </w:trPr>
        <w:tc>
          <w:tcPr>
            <w:tcW w:w="5240" w:type="dxa"/>
            <w:tcBorders>
              <w:top w:val="nil"/>
              <w:left w:val="nil"/>
              <w:bottom w:val="nil"/>
              <w:right w:val="nil"/>
            </w:tcBorders>
          </w:tcPr>
          <w:p w14:paraId="5080DFBE" w14:textId="77777777" w:rsidR="00F15D0E" w:rsidRDefault="00F15D0E" w:rsidP="001110F2">
            <w:pPr>
              <w:suppressAutoHyphens/>
              <w:spacing w:line="276" w:lineRule="auto"/>
              <w:jc w:val="both"/>
              <w:textAlignment w:val="baseline"/>
            </w:pPr>
          </w:p>
        </w:tc>
        <w:tc>
          <w:tcPr>
            <w:tcW w:w="453" w:type="dxa"/>
            <w:tcBorders>
              <w:top w:val="nil"/>
              <w:left w:val="nil"/>
              <w:bottom w:val="nil"/>
              <w:right w:val="nil"/>
            </w:tcBorders>
          </w:tcPr>
          <w:p w14:paraId="5080DFBF" w14:textId="77777777" w:rsidR="00F15D0E" w:rsidRDefault="00F15D0E" w:rsidP="001110F2">
            <w:pPr>
              <w:suppressAutoHyphens/>
              <w:spacing w:line="276" w:lineRule="auto"/>
              <w:jc w:val="both"/>
              <w:textAlignment w:val="baseline"/>
            </w:pPr>
          </w:p>
        </w:tc>
        <w:tc>
          <w:tcPr>
            <w:tcW w:w="2099" w:type="dxa"/>
            <w:tcBorders>
              <w:left w:val="nil"/>
              <w:bottom w:val="nil"/>
              <w:right w:val="nil"/>
            </w:tcBorders>
          </w:tcPr>
          <w:p w14:paraId="5080DFC0" w14:textId="77777777" w:rsidR="00F15D0E" w:rsidRPr="00E46669" w:rsidRDefault="008E1E76" w:rsidP="001110F2">
            <w:pPr>
              <w:suppressAutoHyphens/>
              <w:spacing w:line="276" w:lineRule="auto"/>
              <w:jc w:val="center"/>
              <w:textAlignment w:val="baseline"/>
              <w:rPr>
                <w:i/>
                <w:sz w:val="20"/>
              </w:rPr>
            </w:pPr>
            <w:r w:rsidRPr="00E46669">
              <w:rPr>
                <w:i/>
                <w:color w:val="808080"/>
                <w:sz w:val="20"/>
              </w:rPr>
              <w:t>(parašas)</w:t>
            </w:r>
          </w:p>
        </w:tc>
        <w:tc>
          <w:tcPr>
            <w:tcW w:w="283" w:type="dxa"/>
            <w:tcBorders>
              <w:top w:val="nil"/>
              <w:left w:val="nil"/>
              <w:bottom w:val="nil"/>
              <w:right w:val="nil"/>
            </w:tcBorders>
          </w:tcPr>
          <w:p w14:paraId="5080DFC1" w14:textId="77777777" w:rsidR="00F15D0E" w:rsidRPr="00E46669" w:rsidRDefault="00F15D0E" w:rsidP="001110F2">
            <w:pPr>
              <w:suppressAutoHyphens/>
              <w:spacing w:line="276" w:lineRule="auto"/>
              <w:jc w:val="both"/>
              <w:textAlignment w:val="baseline"/>
              <w:rPr>
                <w:sz w:val="20"/>
              </w:rPr>
            </w:pPr>
          </w:p>
        </w:tc>
        <w:tc>
          <w:tcPr>
            <w:tcW w:w="4819" w:type="dxa"/>
            <w:gridSpan w:val="2"/>
            <w:tcBorders>
              <w:left w:val="nil"/>
              <w:bottom w:val="nil"/>
              <w:right w:val="nil"/>
            </w:tcBorders>
          </w:tcPr>
          <w:p w14:paraId="5080DFC2" w14:textId="77777777" w:rsidR="00F15D0E" w:rsidRPr="00E46669" w:rsidRDefault="008E1E76" w:rsidP="001110F2">
            <w:pPr>
              <w:suppressAutoHyphens/>
              <w:spacing w:line="276" w:lineRule="auto"/>
              <w:jc w:val="center"/>
              <w:textAlignment w:val="baseline"/>
              <w:rPr>
                <w:i/>
                <w:sz w:val="20"/>
              </w:rPr>
            </w:pPr>
            <w:r w:rsidRPr="00E46669">
              <w:rPr>
                <w:i/>
                <w:color w:val="808080"/>
                <w:sz w:val="20"/>
              </w:rPr>
              <w:t>(vardas ir pavardė)</w:t>
            </w:r>
          </w:p>
        </w:tc>
      </w:tr>
    </w:tbl>
    <w:p w14:paraId="5080DFC4" w14:textId="77777777" w:rsidR="00F15D0E" w:rsidRDefault="00F15D0E" w:rsidP="001110F2">
      <w:pPr>
        <w:suppressAutoHyphens/>
        <w:spacing w:line="276" w:lineRule="auto"/>
        <w:jc w:val="both"/>
        <w:textAlignment w:val="baseline"/>
      </w:pPr>
    </w:p>
    <w:p w14:paraId="5080DFC7" w14:textId="71E1CE9B" w:rsidR="00F15D0E" w:rsidRDefault="00F15D0E" w:rsidP="001110F2">
      <w:pPr>
        <w:spacing w:line="276" w:lineRule="auto"/>
        <w:jc w:val="center"/>
        <w:rPr>
          <w:b/>
          <w:bCs/>
        </w:rPr>
      </w:pPr>
    </w:p>
    <w:p w14:paraId="5080DFC8" w14:textId="246CE161" w:rsidR="00F15D0E" w:rsidRDefault="00F15D0E" w:rsidP="001110F2">
      <w:pPr>
        <w:spacing w:line="276" w:lineRule="auto"/>
        <w:jc w:val="both"/>
      </w:pPr>
    </w:p>
    <w:sectPr w:rsidR="00F15D0E">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45CBD" w14:textId="77777777" w:rsidR="00CD356D" w:rsidRDefault="00CD356D">
      <w:r>
        <w:separator/>
      </w:r>
    </w:p>
  </w:endnote>
  <w:endnote w:type="continuationSeparator" w:id="0">
    <w:p w14:paraId="6B3D257D" w14:textId="77777777" w:rsidR="00CD356D" w:rsidRDefault="00CD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3" w14:textId="77777777" w:rsidR="00F15D0E" w:rsidRDefault="00F15D0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4" w14:textId="77777777" w:rsidR="00F15D0E" w:rsidRDefault="00F15D0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6" w14:textId="77777777" w:rsidR="00F15D0E" w:rsidRDefault="00F15D0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B61EA" w14:textId="77777777" w:rsidR="00CD356D" w:rsidRDefault="00CD356D">
      <w:r>
        <w:separator/>
      </w:r>
    </w:p>
  </w:footnote>
  <w:footnote w:type="continuationSeparator" w:id="0">
    <w:p w14:paraId="2C53B779" w14:textId="77777777" w:rsidR="00CD356D" w:rsidRDefault="00CD356D">
      <w:r>
        <w:continuationSeparator/>
      </w:r>
    </w:p>
  </w:footnote>
  <w:footnote w:id="1">
    <w:p w14:paraId="492104F0" w14:textId="6E278185" w:rsidR="00E80363" w:rsidRDefault="00E80363" w:rsidP="00C7348C">
      <w:pPr>
        <w:pStyle w:val="FootnoteText"/>
        <w:jc w:val="both"/>
      </w:pPr>
      <w:r>
        <w:rPr>
          <w:rStyle w:val="FootnoteReference"/>
        </w:rPr>
        <w:footnoteRef/>
      </w:r>
      <w:r>
        <w:t xml:space="preserve"> Klaipėdos regiono plėtros tarybos 2023 m. kovo 10 d. sprendimas Nr. K/S-10 „Dėl 2022–2030 m. Klaipėdos regiono plėtros plano patvirtinimo“</w:t>
      </w:r>
      <w:r w:rsidR="00B42015">
        <w:t>.</w:t>
      </w:r>
    </w:p>
  </w:footnote>
  <w:footnote w:id="2">
    <w:p w14:paraId="0BAC9085" w14:textId="3CDFBB76" w:rsidR="00F6334E" w:rsidRDefault="00F6334E" w:rsidP="00C7348C">
      <w:pPr>
        <w:pStyle w:val="FootnoteText"/>
        <w:jc w:val="both"/>
      </w:pPr>
      <w:r>
        <w:rPr>
          <w:rStyle w:val="FootnoteReference"/>
        </w:rPr>
        <w:footnoteRef/>
      </w:r>
      <w:r>
        <w:t xml:space="preserve"> </w:t>
      </w:r>
      <w:r w:rsidRPr="00891B65">
        <w:t>Lietuvos Respublikos Vyriausybės 2022 m. birželio 29 d. nutarimas Nr.</w:t>
      </w:r>
      <w:r w:rsidR="003913BB">
        <w:t xml:space="preserve"> </w:t>
      </w:r>
      <w:r w:rsidRPr="00891B65">
        <w:t>713 „Dėl 2022–2030 metų regionų plėtros programos patvirtinimo“</w:t>
      </w:r>
      <w:r w:rsidR="00B42015">
        <w:t>.</w:t>
      </w:r>
    </w:p>
  </w:footnote>
  <w:footnote w:id="3">
    <w:p w14:paraId="51431ED0" w14:textId="76EFF205" w:rsidR="002F1117" w:rsidRDefault="002F1117" w:rsidP="00C7348C">
      <w:pPr>
        <w:pStyle w:val="FootnoteText"/>
        <w:jc w:val="both"/>
      </w:pPr>
      <w:r>
        <w:rPr>
          <w:rStyle w:val="FootnoteReference"/>
        </w:rPr>
        <w:footnoteRef/>
      </w:r>
      <w:r>
        <w:t xml:space="preserve"> Klaipėdos miesto savivaldybės tarybos 2023 m. gruodžio 21 d. sprendimas Nr. T2-353 „Dėl Tvarios Klaipėdos miesto plėtros 2023–2029 metų strategijos patvirtinimo“, Klaipėdos rajono savivaldybės tarybos 2023 m. gruodžio 21 d. sprendimas Nr. T11-</w:t>
      </w:r>
      <w:r w:rsidR="00C7348C">
        <w:t>419 „Dėl Tvarios Klaipėdos miesto plėtros 2023–2029 metų strategijos patvirtinimo“</w:t>
      </w:r>
      <w:r w:rsidR="00B420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CF" w14:textId="77777777" w:rsidR="00F15D0E" w:rsidRDefault="008E1E7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5080DFD0" w14:textId="77777777" w:rsidR="00F15D0E" w:rsidRDefault="00F15D0E">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DFD1" w14:textId="605A7AEA" w:rsidR="00F15D0E" w:rsidRDefault="008E1E7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284EF8">
      <w:rPr>
        <w:noProof/>
        <w:szCs w:val="24"/>
        <w:lang w:eastAsia="lt-LT"/>
      </w:rPr>
      <w:t>1</w:t>
    </w:r>
    <w:r w:rsidR="00284EF8">
      <w:rPr>
        <w:noProof/>
        <w:szCs w:val="24"/>
        <w:lang w:eastAsia="lt-LT"/>
      </w:rPr>
      <w:t>5</w:t>
    </w:r>
    <w:r>
      <w:rPr>
        <w:szCs w:val="24"/>
        <w:lang w:eastAsia="lt-LT"/>
      </w:rPr>
      <w:fldChar w:fldCharType="end"/>
    </w:r>
  </w:p>
  <w:p w14:paraId="5080DFD2" w14:textId="77777777" w:rsidR="00F15D0E" w:rsidRDefault="00F15D0E">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06"/>
    <w:multiLevelType w:val="hybridMultilevel"/>
    <w:tmpl w:val="B824D8FE"/>
    <w:lvl w:ilvl="0" w:tplc="AA7849CE">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4B083739"/>
    <w:multiLevelType w:val="hybridMultilevel"/>
    <w:tmpl w:val="6EFC1B6E"/>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F444EE"/>
    <w:multiLevelType w:val="hybridMultilevel"/>
    <w:tmpl w:val="A95CABF6"/>
    <w:lvl w:ilvl="0" w:tplc="F246FF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8437DEE"/>
    <w:multiLevelType w:val="hybridMultilevel"/>
    <w:tmpl w:val="A43410C2"/>
    <w:lvl w:ilvl="0" w:tplc="0427000F">
      <w:start w:val="1"/>
      <w:numFmt w:val="decimal"/>
      <w:lvlText w:val="%1."/>
      <w:lvlJc w:val="left"/>
      <w:pPr>
        <w:ind w:left="2016" w:hanging="360"/>
      </w:pPr>
      <w:rPr>
        <w:rFonts w:hint="default"/>
      </w:rPr>
    </w:lvl>
    <w:lvl w:ilvl="1" w:tplc="FFFFFFFF" w:tentative="1">
      <w:start w:val="1"/>
      <w:numFmt w:val="bullet"/>
      <w:lvlText w:val="o"/>
      <w:lvlJc w:val="left"/>
      <w:pPr>
        <w:ind w:left="2736" w:hanging="360"/>
      </w:pPr>
      <w:rPr>
        <w:rFonts w:ascii="Courier New" w:hAnsi="Courier New" w:cs="Courier New" w:hint="default"/>
      </w:rPr>
    </w:lvl>
    <w:lvl w:ilvl="2" w:tplc="FFFFFFFF" w:tentative="1">
      <w:start w:val="1"/>
      <w:numFmt w:val="bullet"/>
      <w:lvlText w:val=""/>
      <w:lvlJc w:val="left"/>
      <w:pPr>
        <w:ind w:left="3456" w:hanging="360"/>
      </w:pPr>
      <w:rPr>
        <w:rFonts w:ascii="Wingdings" w:hAnsi="Wingdings" w:hint="default"/>
      </w:rPr>
    </w:lvl>
    <w:lvl w:ilvl="3" w:tplc="FFFFFFFF" w:tentative="1">
      <w:start w:val="1"/>
      <w:numFmt w:val="bullet"/>
      <w:lvlText w:val=""/>
      <w:lvlJc w:val="left"/>
      <w:pPr>
        <w:ind w:left="4176" w:hanging="360"/>
      </w:pPr>
      <w:rPr>
        <w:rFonts w:ascii="Symbol" w:hAnsi="Symbol" w:hint="default"/>
      </w:rPr>
    </w:lvl>
    <w:lvl w:ilvl="4" w:tplc="FFFFFFFF" w:tentative="1">
      <w:start w:val="1"/>
      <w:numFmt w:val="bullet"/>
      <w:lvlText w:val="o"/>
      <w:lvlJc w:val="left"/>
      <w:pPr>
        <w:ind w:left="4896" w:hanging="360"/>
      </w:pPr>
      <w:rPr>
        <w:rFonts w:ascii="Courier New" w:hAnsi="Courier New" w:cs="Courier New" w:hint="default"/>
      </w:rPr>
    </w:lvl>
    <w:lvl w:ilvl="5" w:tplc="FFFFFFFF" w:tentative="1">
      <w:start w:val="1"/>
      <w:numFmt w:val="bullet"/>
      <w:lvlText w:val=""/>
      <w:lvlJc w:val="left"/>
      <w:pPr>
        <w:ind w:left="5616" w:hanging="360"/>
      </w:pPr>
      <w:rPr>
        <w:rFonts w:ascii="Wingdings" w:hAnsi="Wingdings" w:hint="default"/>
      </w:rPr>
    </w:lvl>
    <w:lvl w:ilvl="6" w:tplc="FFFFFFFF" w:tentative="1">
      <w:start w:val="1"/>
      <w:numFmt w:val="bullet"/>
      <w:lvlText w:val=""/>
      <w:lvlJc w:val="left"/>
      <w:pPr>
        <w:ind w:left="6336" w:hanging="360"/>
      </w:pPr>
      <w:rPr>
        <w:rFonts w:ascii="Symbol" w:hAnsi="Symbol" w:hint="default"/>
      </w:rPr>
    </w:lvl>
    <w:lvl w:ilvl="7" w:tplc="FFFFFFFF" w:tentative="1">
      <w:start w:val="1"/>
      <w:numFmt w:val="bullet"/>
      <w:lvlText w:val="o"/>
      <w:lvlJc w:val="left"/>
      <w:pPr>
        <w:ind w:left="7056" w:hanging="360"/>
      </w:pPr>
      <w:rPr>
        <w:rFonts w:ascii="Courier New" w:hAnsi="Courier New" w:cs="Courier New" w:hint="default"/>
      </w:rPr>
    </w:lvl>
    <w:lvl w:ilvl="8" w:tplc="FFFFFFFF" w:tentative="1">
      <w:start w:val="1"/>
      <w:numFmt w:val="bullet"/>
      <w:lvlText w:val=""/>
      <w:lvlJc w:val="left"/>
      <w:pPr>
        <w:ind w:left="7776" w:hanging="360"/>
      </w:pPr>
      <w:rPr>
        <w:rFonts w:ascii="Wingdings" w:hAnsi="Wingdings" w:hint="default"/>
      </w:rPr>
    </w:lvl>
  </w:abstractNum>
  <w:num w:numId="1" w16cid:durableId="1648166922">
    <w:abstractNumId w:val="0"/>
  </w:num>
  <w:num w:numId="2" w16cid:durableId="923997411">
    <w:abstractNumId w:val="3"/>
  </w:num>
  <w:num w:numId="3" w16cid:durableId="1252201855">
    <w:abstractNumId w:val="1"/>
  </w:num>
  <w:num w:numId="4" w16cid:durableId="389840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20B3E"/>
    <w:rsid w:val="00047838"/>
    <w:rsid w:val="00054218"/>
    <w:rsid w:val="00057701"/>
    <w:rsid w:val="00076C85"/>
    <w:rsid w:val="00085847"/>
    <w:rsid w:val="000923F0"/>
    <w:rsid w:val="00092CF4"/>
    <w:rsid w:val="000A3400"/>
    <w:rsid w:val="000A3A6A"/>
    <w:rsid w:val="000A4091"/>
    <w:rsid w:val="000A40EC"/>
    <w:rsid w:val="000B1575"/>
    <w:rsid w:val="000B2CA3"/>
    <w:rsid w:val="000C2B98"/>
    <w:rsid w:val="000C5137"/>
    <w:rsid w:val="000D2A9B"/>
    <w:rsid w:val="000E148A"/>
    <w:rsid w:val="000E4D05"/>
    <w:rsid w:val="000E649B"/>
    <w:rsid w:val="0011106E"/>
    <w:rsid w:val="001110F2"/>
    <w:rsid w:val="00121002"/>
    <w:rsid w:val="00122184"/>
    <w:rsid w:val="00141F8B"/>
    <w:rsid w:val="00142F56"/>
    <w:rsid w:val="00156602"/>
    <w:rsid w:val="00157F71"/>
    <w:rsid w:val="00161E40"/>
    <w:rsid w:val="0016238C"/>
    <w:rsid w:val="00167806"/>
    <w:rsid w:val="00173372"/>
    <w:rsid w:val="001764A1"/>
    <w:rsid w:val="00187609"/>
    <w:rsid w:val="00195373"/>
    <w:rsid w:val="001963AB"/>
    <w:rsid w:val="001972C9"/>
    <w:rsid w:val="001A13C1"/>
    <w:rsid w:val="001B0770"/>
    <w:rsid w:val="001D1E80"/>
    <w:rsid w:val="001D3D6F"/>
    <w:rsid w:val="001D6EB6"/>
    <w:rsid w:val="001E3BC1"/>
    <w:rsid w:val="002055CC"/>
    <w:rsid w:val="00210738"/>
    <w:rsid w:val="00210CFC"/>
    <w:rsid w:val="00215EE1"/>
    <w:rsid w:val="00225288"/>
    <w:rsid w:val="00225B4A"/>
    <w:rsid w:val="002440B1"/>
    <w:rsid w:val="00252F0B"/>
    <w:rsid w:val="002624E1"/>
    <w:rsid w:val="002754F4"/>
    <w:rsid w:val="002828F0"/>
    <w:rsid w:val="00284EF8"/>
    <w:rsid w:val="00291BC0"/>
    <w:rsid w:val="002949DF"/>
    <w:rsid w:val="002A0F8D"/>
    <w:rsid w:val="002B42F4"/>
    <w:rsid w:val="002D0854"/>
    <w:rsid w:val="002E03FC"/>
    <w:rsid w:val="002F0850"/>
    <w:rsid w:val="002F1117"/>
    <w:rsid w:val="002F4ADE"/>
    <w:rsid w:val="003114DE"/>
    <w:rsid w:val="00313DF1"/>
    <w:rsid w:val="0031686D"/>
    <w:rsid w:val="00327EFE"/>
    <w:rsid w:val="0034096D"/>
    <w:rsid w:val="003561CB"/>
    <w:rsid w:val="003563BC"/>
    <w:rsid w:val="00357344"/>
    <w:rsid w:val="00367546"/>
    <w:rsid w:val="0037227D"/>
    <w:rsid w:val="003772B1"/>
    <w:rsid w:val="00383AF8"/>
    <w:rsid w:val="0038620D"/>
    <w:rsid w:val="003913BB"/>
    <w:rsid w:val="00391BB5"/>
    <w:rsid w:val="00394139"/>
    <w:rsid w:val="00396B41"/>
    <w:rsid w:val="003A60CF"/>
    <w:rsid w:val="003B184F"/>
    <w:rsid w:val="003B50EA"/>
    <w:rsid w:val="003B79A4"/>
    <w:rsid w:val="003C1F55"/>
    <w:rsid w:val="003D63CA"/>
    <w:rsid w:val="003E0E2E"/>
    <w:rsid w:val="003E604D"/>
    <w:rsid w:val="0040306F"/>
    <w:rsid w:val="0040784F"/>
    <w:rsid w:val="004116FC"/>
    <w:rsid w:val="00423594"/>
    <w:rsid w:val="00426990"/>
    <w:rsid w:val="00426F97"/>
    <w:rsid w:val="00431B54"/>
    <w:rsid w:val="00442DEC"/>
    <w:rsid w:val="00445D58"/>
    <w:rsid w:val="00447E55"/>
    <w:rsid w:val="004521E9"/>
    <w:rsid w:val="00456A4C"/>
    <w:rsid w:val="00457E5B"/>
    <w:rsid w:val="00466309"/>
    <w:rsid w:val="004755DF"/>
    <w:rsid w:val="00482FF4"/>
    <w:rsid w:val="004830FF"/>
    <w:rsid w:val="0049106F"/>
    <w:rsid w:val="00491A6A"/>
    <w:rsid w:val="004A02D5"/>
    <w:rsid w:val="004A33E0"/>
    <w:rsid w:val="004D21D0"/>
    <w:rsid w:val="004D497E"/>
    <w:rsid w:val="004D7242"/>
    <w:rsid w:val="004E5276"/>
    <w:rsid w:val="005074BC"/>
    <w:rsid w:val="00507A07"/>
    <w:rsid w:val="0051550B"/>
    <w:rsid w:val="005220D7"/>
    <w:rsid w:val="005252EC"/>
    <w:rsid w:val="0052735E"/>
    <w:rsid w:val="00540F25"/>
    <w:rsid w:val="00545A75"/>
    <w:rsid w:val="00550F64"/>
    <w:rsid w:val="00555F3B"/>
    <w:rsid w:val="00561F87"/>
    <w:rsid w:val="005647E6"/>
    <w:rsid w:val="00573BEF"/>
    <w:rsid w:val="00574BEC"/>
    <w:rsid w:val="00590D1E"/>
    <w:rsid w:val="005A7404"/>
    <w:rsid w:val="005B0AE5"/>
    <w:rsid w:val="005D4AB0"/>
    <w:rsid w:val="005E1E5A"/>
    <w:rsid w:val="005E2C26"/>
    <w:rsid w:val="005E2EFD"/>
    <w:rsid w:val="005E5911"/>
    <w:rsid w:val="005F0562"/>
    <w:rsid w:val="005F2520"/>
    <w:rsid w:val="00601260"/>
    <w:rsid w:val="00610596"/>
    <w:rsid w:val="0061671D"/>
    <w:rsid w:val="00621363"/>
    <w:rsid w:val="00626AEB"/>
    <w:rsid w:val="0063012C"/>
    <w:rsid w:val="0063458E"/>
    <w:rsid w:val="00637F93"/>
    <w:rsid w:val="00642BBC"/>
    <w:rsid w:val="00660235"/>
    <w:rsid w:val="00662DB0"/>
    <w:rsid w:val="00666525"/>
    <w:rsid w:val="006735DC"/>
    <w:rsid w:val="00674B61"/>
    <w:rsid w:val="00680E3A"/>
    <w:rsid w:val="006C0216"/>
    <w:rsid w:val="006C0C16"/>
    <w:rsid w:val="006C1F2A"/>
    <w:rsid w:val="006C3F3D"/>
    <w:rsid w:val="006C5971"/>
    <w:rsid w:val="006D41CA"/>
    <w:rsid w:val="006D444A"/>
    <w:rsid w:val="006D46CA"/>
    <w:rsid w:val="006D69F2"/>
    <w:rsid w:val="006E127F"/>
    <w:rsid w:val="006E6888"/>
    <w:rsid w:val="006F0F23"/>
    <w:rsid w:val="006F1590"/>
    <w:rsid w:val="006F1F5D"/>
    <w:rsid w:val="00700EE9"/>
    <w:rsid w:val="007043F6"/>
    <w:rsid w:val="007066A4"/>
    <w:rsid w:val="00707B13"/>
    <w:rsid w:val="007212C0"/>
    <w:rsid w:val="00732EE8"/>
    <w:rsid w:val="00740AC3"/>
    <w:rsid w:val="00743E80"/>
    <w:rsid w:val="007445A2"/>
    <w:rsid w:val="00750BF2"/>
    <w:rsid w:val="00753280"/>
    <w:rsid w:val="00757EAC"/>
    <w:rsid w:val="007608A3"/>
    <w:rsid w:val="007616EB"/>
    <w:rsid w:val="00770F6C"/>
    <w:rsid w:val="00783AD6"/>
    <w:rsid w:val="00793135"/>
    <w:rsid w:val="00796080"/>
    <w:rsid w:val="007C1EC1"/>
    <w:rsid w:val="007C3040"/>
    <w:rsid w:val="007C519C"/>
    <w:rsid w:val="007C69B6"/>
    <w:rsid w:val="007D4C33"/>
    <w:rsid w:val="007D72F2"/>
    <w:rsid w:val="007E0BDD"/>
    <w:rsid w:val="007E2078"/>
    <w:rsid w:val="007E2360"/>
    <w:rsid w:val="007F04F7"/>
    <w:rsid w:val="007F1FF5"/>
    <w:rsid w:val="007F320F"/>
    <w:rsid w:val="007F4086"/>
    <w:rsid w:val="007F50C2"/>
    <w:rsid w:val="00804C4F"/>
    <w:rsid w:val="00805F30"/>
    <w:rsid w:val="00807D88"/>
    <w:rsid w:val="00817E3B"/>
    <w:rsid w:val="00817ED5"/>
    <w:rsid w:val="00821B6F"/>
    <w:rsid w:val="008223B7"/>
    <w:rsid w:val="00822987"/>
    <w:rsid w:val="00825270"/>
    <w:rsid w:val="00835102"/>
    <w:rsid w:val="008370C0"/>
    <w:rsid w:val="008372C1"/>
    <w:rsid w:val="00843DBF"/>
    <w:rsid w:val="00845994"/>
    <w:rsid w:val="00850A04"/>
    <w:rsid w:val="00852A2F"/>
    <w:rsid w:val="00856E92"/>
    <w:rsid w:val="00863094"/>
    <w:rsid w:val="00866AB2"/>
    <w:rsid w:val="0089022E"/>
    <w:rsid w:val="00897A5A"/>
    <w:rsid w:val="008A02D0"/>
    <w:rsid w:val="008A2D06"/>
    <w:rsid w:val="008B5C71"/>
    <w:rsid w:val="008C13C5"/>
    <w:rsid w:val="008D422B"/>
    <w:rsid w:val="008D7999"/>
    <w:rsid w:val="008E1E76"/>
    <w:rsid w:val="008F183A"/>
    <w:rsid w:val="008F3438"/>
    <w:rsid w:val="00903B3B"/>
    <w:rsid w:val="0090482B"/>
    <w:rsid w:val="009133AD"/>
    <w:rsid w:val="00913EA2"/>
    <w:rsid w:val="00924B4E"/>
    <w:rsid w:val="0093014A"/>
    <w:rsid w:val="0094365D"/>
    <w:rsid w:val="009476CF"/>
    <w:rsid w:val="00956E7C"/>
    <w:rsid w:val="00991366"/>
    <w:rsid w:val="00992837"/>
    <w:rsid w:val="009952DA"/>
    <w:rsid w:val="009A177B"/>
    <w:rsid w:val="009A28C0"/>
    <w:rsid w:val="009A7456"/>
    <w:rsid w:val="009B7FD7"/>
    <w:rsid w:val="009C22FD"/>
    <w:rsid w:val="009C45CB"/>
    <w:rsid w:val="009E1C40"/>
    <w:rsid w:val="00A062F7"/>
    <w:rsid w:val="00A07A50"/>
    <w:rsid w:val="00A1148F"/>
    <w:rsid w:val="00A11B5A"/>
    <w:rsid w:val="00A3210A"/>
    <w:rsid w:val="00A33343"/>
    <w:rsid w:val="00A41944"/>
    <w:rsid w:val="00A43FE7"/>
    <w:rsid w:val="00A57B5D"/>
    <w:rsid w:val="00A72142"/>
    <w:rsid w:val="00A824AE"/>
    <w:rsid w:val="00A86D41"/>
    <w:rsid w:val="00A913FA"/>
    <w:rsid w:val="00A936E1"/>
    <w:rsid w:val="00A95825"/>
    <w:rsid w:val="00A97CCB"/>
    <w:rsid w:val="00AA2C9C"/>
    <w:rsid w:val="00AA7953"/>
    <w:rsid w:val="00AA7CB1"/>
    <w:rsid w:val="00AA7E62"/>
    <w:rsid w:val="00AB3855"/>
    <w:rsid w:val="00AC3459"/>
    <w:rsid w:val="00AC6D6A"/>
    <w:rsid w:val="00AC6E96"/>
    <w:rsid w:val="00AD0A95"/>
    <w:rsid w:val="00AD56D8"/>
    <w:rsid w:val="00AE695C"/>
    <w:rsid w:val="00B02103"/>
    <w:rsid w:val="00B02134"/>
    <w:rsid w:val="00B03059"/>
    <w:rsid w:val="00B04021"/>
    <w:rsid w:val="00B147B6"/>
    <w:rsid w:val="00B15FDB"/>
    <w:rsid w:val="00B17398"/>
    <w:rsid w:val="00B31541"/>
    <w:rsid w:val="00B40C22"/>
    <w:rsid w:val="00B41D09"/>
    <w:rsid w:val="00B42015"/>
    <w:rsid w:val="00B4508C"/>
    <w:rsid w:val="00B45495"/>
    <w:rsid w:val="00B517E1"/>
    <w:rsid w:val="00B6206D"/>
    <w:rsid w:val="00B66432"/>
    <w:rsid w:val="00B76380"/>
    <w:rsid w:val="00B82573"/>
    <w:rsid w:val="00B83A40"/>
    <w:rsid w:val="00B84FD6"/>
    <w:rsid w:val="00B902EC"/>
    <w:rsid w:val="00B918D0"/>
    <w:rsid w:val="00B97CE9"/>
    <w:rsid w:val="00BA2017"/>
    <w:rsid w:val="00BB0D54"/>
    <w:rsid w:val="00BB3971"/>
    <w:rsid w:val="00BB75D2"/>
    <w:rsid w:val="00BC06A4"/>
    <w:rsid w:val="00BC6352"/>
    <w:rsid w:val="00BD23C0"/>
    <w:rsid w:val="00BD2B53"/>
    <w:rsid w:val="00BD2DAB"/>
    <w:rsid w:val="00BD2FF7"/>
    <w:rsid w:val="00BE2D86"/>
    <w:rsid w:val="00BF4CFB"/>
    <w:rsid w:val="00BF6431"/>
    <w:rsid w:val="00BF7450"/>
    <w:rsid w:val="00C0330D"/>
    <w:rsid w:val="00C06AC1"/>
    <w:rsid w:val="00C1557A"/>
    <w:rsid w:val="00C16FA2"/>
    <w:rsid w:val="00C170AB"/>
    <w:rsid w:val="00C30DDA"/>
    <w:rsid w:val="00C327F5"/>
    <w:rsid w:val="00C32C08"/>
    <w:rsid w:val="00C36DB2"/>
    <w:rsid w:val="00C406D1"/>
    <w:rsid w:val="00C4738D"/>
    <w:rsid w:val="00C5666F"/>
    <w:rsid w:val="00C6708F"/>
    <w:rsid w:val="00C7348C"/>
    <w:rsid w:val="00C84AEA"/>
    <w:rsid w:val="00C95F94"/>
    <w:rsid w:val="00CB6973"/>
    <w:rsid w:val="00CB7126"/>
    <w:rsid w:val="00CB7BC7"/>
    <w:rsid w:val="00CD03D9"/>
    <w:rsid w:val="00CD356D"/>
    <w:rsid w:val="00CE26E9"/>
    <w:rsid w:val="00D01922"/>
    <w:rsid w:val="00D12FC1"/>
    <w:rsid w:val="00D2259F"/>
    <w:rsid w:val="00D25F2D"/>
    <w:rsid w:val="00D34D35"/>
    <w:rsid w:val="00D40F0A"/>
    <w:rsid w:val="00D4489C"/>
    <w:rsid w:val="00D506C8"/>
    <w:rsid w:val="00D5612D"/>
    <w:rsid w:val="00D70AF4"/>
    <w:rsid w:val="00D713CB"/>
    <w:rsid w:val="00D7390C"/>
    <w:rsid w:val="00D76058"/>
    <w:rsid w:val="00D812B0"/>
    <w:rsid w:val="00D84A27"/>
    <w:rsid w:val="00D93786"/>
    <w:rsid w:val="00D942F4"/>
    <w:rsid w:val="00DA3957"/>
    <w:rsid w:val="00DA4E5A"/>
    <w:rsid w:val="00DA5732"/>
    <w:rsid w:val="00DB29D3"/>
    <w:rsid w:val="00DD1B1B"/>
    <w:rsid w:val="00DD20A7"/>
    <w:rsid w:val="00DD764B"/>
    <w:rsid w:val="00DF4BFF"/>
    <w:rsid w:val="00E009F7"/>
    <w:rsid w:val="00E07FD6"/>
    <w:rsid w:val="00E136C0"/>
    <w:rsid w:val="00E13778"/>
    <w:rsid w:val="00E145CE"/>
    <w:rsid w:val="00E22E2A"/>
    <w:rsid w:val="00E316F9"/>
    <w:rsid w:val="00E367F6"/>
    <w:rsid w:val="00E46669"/>
    <w:rsid w:val="00E55BC5"/>
    <w:rsid w:val="00E63CA4"/>
    <w:rsid w:val="00E7428D"/>
    <w:rsid w:val="00E80363"/>
    <w:rsid w:val="00E84AF8"/>
    <w:rsid w:val="00E93B4D"/>
    <w:rsid w:val="00E97020"/>
    <w:rsid w:val="00E97A8B"/>
    <w:rsid w:val="00EB701E"/>
    <w:rsid w:val="00EC39CF"/>
    <w:rsid w:val="00ED1A31"/>
    <w:rsid w:val="00ED5776"/>
    <w:rsid w:val="00EE6149"/>
    <w:rsid w:val="00EE7840"/>
    <w:rsid w:val="00F06E76"/>
    <w:rsid w:val="00F133D7"/>
    <w:rsid w:val="00F139EB"/>
    <w:rsid w:val="00F14E58"/>
    <w:rsid w:val="00F15D0E"/>
    <w:rsid w:val="00F16F46"/>
    <w:rsid w:val="00F2400D"/>
    <w:rsid w:val="00F5083C"/>
    <w:rsid w:val="00F548B9"/>
    <w:rsid w:val="00F5515C"/>
    <w:rsid w:val="00F56B7A"/>
    <w:rsid w:val="00F570C9"/>
    <w:rsid w:val="00F623C4"/>
    <w:rsid w:val="00F6334E"/>
    <w:rsid w:val="00F67BF9"/>
    <w:rsid w:val="00F74467"/>
    <w:rsid w:val="00F863C2"/>
    <w:rsid w:val="00FB4C06"/>
    <w:rsid w:val="00FB6C64"/>
    <w:rsid w:val="00FB6D6A"/>
    <w:rsid w:val="00FC5906"/>
    <w:rsid w:val="00FD0851"/>
    <w:rsid w:val="00FE0CB4"/>
    <w:rsid w:val="00FE0D7C"/>
    <w:rsid w:val="00FE16F9"/>
    <w:rsid w:val="00FE377A"/>
    <w:rsid w:val="00FE6821"/>
    <w:rsid w:val="00FF004F"/>
    <w:rsid w:val="00FF4210"/>
    <w:rsid w:val="00FF43E9"/>
    <w:rsid w:val="00FF4D16"/>
    <w:rsid w:val="00FF77D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EE4"/>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rsid w:val="00EB701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
    <w:basedOn w:val="Normal"/>
    <w:link w:val="FootnoteTextChar"/>
    <w:unhideWhenUsed/>
    <w:rsid w:val="007C3040"/>
    <w:rPr>
      <w:sz w:val="20"/>
    </w:rPr>
  </w:style>
  <w:style w:type="character" w:customStyle="1" w:styleId="FootnoteTextChar">
    <w:name w:val="Footnote Text Char"/>
    <w:aliases w:val="Diagrama Char"/>
    <w:basedOn w:val="DefaultParagraphFont"/>
    <w:link w:val="FootnoteText"/>
    <w:rsid w:val="007C3040"/>
    <w:rPr>
      <w:sz w:val="20"/>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7C3040"/>
    <w:rPr>
      <w:vertAlign w:val="superscript"/>
    </w:rPr>
  </w:style>
  <w:style w:type="table" w:styleId="TableGrid">
    <w:name w:val="Table Grid"/>
    <w:basedOn w:val="TableNormal"/>
    <w:uiPriority w:val="39"/>
    <w:rsid w:val="007C3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5515C"/>
    <w:rPr>
      <w:color w:val="0563C1" w:themeColor="hyperlink"/>
      <w:u w:val="single"/>
    </w:rPr>
  </w:style>
  <w:style w:type="character" w:customStyle="1" w:styleId="normaltextrun">
    <w:name w:val="normaltextrun"/>
    <w:basedOn w:val="DefaultParagraphFont"/>
    <w:rsid w:val="00F5515C"/>
  </w:style>
  <w:style w:type="character" w:styleId="FollowedHyperlink">
    <w:name w:val="FollowedHyperlink"/>
    <w:basedOn w:val="DefaultParagraphFont"/>
    <w:semiHidden/>
    <w:unhideWhenUsed/>
    <w:rsid w:val="00121002"/>
    <w:rPr>
      <w:color w:val="954F72" w:themeColor="followedHyperlink"/>
      <w:u w:val="single"/>
    </w:rPr>
  </w:style>
  <w:style w:type="character" w:customStyle="1" w:styleId="UnresolvedMention1">
    <w:name w:val="Unresolved Mention1"/>
    <w:basedOn w:val="DefaultParagraphFont"/>
    <w:uiPriority w:val="99"/>
    <w:semiHidden/>
    <w:unhideWhenUsed/>
    <w:rsid w:val="00662DB0"/>
    <w:rPr>
      <w:color w:val="605E5C"/>
      <w:shd w:val="clear" w:color="auto" w:fill="E1DFDD"/>
    </w:rPr>
  </w:style>
  <w:style w:type="character" w:styleId="CommentReference">
    <w:name w:val="annotation reference"/>
    <w:basedOn w:val="DefaultParagraphFont"/>
    <w:semiHidden/>
    <w:unhideWhenUsed/>
    <w:rsid w:val="00DA3957"/>
    <w:rPr>
      <w:sz w:val="16"/>
      <w:szCs w:val="16"/>
    </w:rPr>
  </w:style>
  <w:style w:type="paragraph" w:styleId="CommentText">
    <w:name w:val="annotation text"/>
    <w:basedOn w:val="Normal"/>
    <w:link w:val="CommentTextChar"/>
    <w:unhideWhenUsed/>
    <w:rsid w:val="00DA3957"/>
    <w:rPr>
      <w:sz w:val="20"/>
    </w:rPr>
  </w:style>
  <w:style w:type="character" w:customStyle="1" w:styleId="CommentTextChar">
    <w:name w:val="Comment Text Char"/>
    <w:basedOn w:val="DefaultParagraphFont"/>
    <w:link w:val="CommentText"/>
    <w:rsid w:val="00DA3957"/>
    <w:rPr>
      <w:sz w:val="20"/>
    </w:rPr>
  </w:style>
  <w:style w:type="paragraph" w:styleId="CommentSubject">
    <w:name w:val="annotation subject"/>
    <w:basedOn w:val="CommentText"/>
    <w:next w:val="CommentText"/>
    <w:link w:val="CommentSubjectChar"/>
    <w:semiHidden/>
    <w:unhideWhenUsed/>
    <w:rsid w:val="00DA3957"/>
    <w:rPr>
      <w:b/>
      <w:bCs/>
    </w:rPr>
  </w:style>
  <w:style w:type="character" w:customStyle="1" w:styleId="CommentSubjectChar">
    <w:name w:val="Comment Subject Char"/>
    <w:basedOn w:val="CommentTextChar"/>
    <w:link w:val="CommentSubject"/>
    <w:semiHidden/>
    <w:rsid w:val="00DA3957"/>
    <w:rPr>
      <w:b/>
      <w:bCs/>
      <w:sz w:val="20"/>
    </w:rPr>
  </w:style>
  <w:style w:type="paragraph" w:styleId="BalloonText">
    <w:name w:val="Balloon Text"/>
    <w:basedOn w:val="Normal"/>
    <w:link w:val="BalloonTextChar"/>
    <w:semiHidden/>
    <w:unhideWhenUsed/>
    <w:rsid w:val="00590D1E"/>
    <w:rPr>
      <w:rFonts w:ascii="Segoe UI" w:hAnsi="Segoe UI" w:cs="Segoe UI"/>
      <w:sz w:val="18"/>
      <w:szCs w:val="18"/>
    </w:rPr>
  </w:style>
  <w:style w:type="character" w:customStyle="1" w:styleId="BalloonTextChar">
    <w:name w:val="Balloon Text Char"/>
    <w:basedOn w:val="DefaultParagraphFont"/>
    <w:link w:val="BalloonText"/>
    <w:semiHidden/>
    <w:rsid w:val="00590D1E"/>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0B2CA3"/>
    <w:rPr>
      <w:color w:val="605E5C"/>
      <w:shd w:val="clear" w:color="auto" w:fill="E1DFDD"/>
    </w:rPr>
  </w:style>
  <w:style w:type="paragraph" w:styleId="ListParagraph">
    <w:name w:val="List Paragraph"/>
    <w:basedOn w:val="Normal"/>
    <w:rsid w:val="00555F3B"/>
    <w:pPr>
      <w:ind w:left="720"/>
      <w:contextualSpacing/>
    </w:pPr>
  </w:style>
  <w:style w:type="character" w:customStyle="1" w:styleId="Heading1Char">
    <w:name w:val="Heading 1 Char"/>
    <w:basedOn w:val="DefaultParagraphFont"/>
    <w:link w:val="Heading1"/>
    <w:rsid w:val="00EB701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semiHidden/>
    <w:unhideWhenUsed/>
    <w:rsid w:val="006D444A"/>
    <w:pPr>
      <w:tabs>
        <w:tab w:val="center" w:pos="4819"/>
        <w:tab w:val="right" w:pos="9638"/>
      </w:tabs>
    </w:pPr>
  </w:style>
  <w:style w:type="character" w:customStyle="1" w:styleId="HeaderChar">
    <w:name w:val="Header Char"/>
    <w:basedOn w:val="DefaultParagraphFont"/>
    <w:link w:val="Header"/>
    <w:semiHidden/>
    <w:rsid w:val="006D444A"/>
  </w:style>
  <w:style w:type="paragraph" w:styleId="Caption">
    <w:name w:val="caption"/>
    <w:basedOn w:val="Normal"/>
    <w:next w:val="Normal"/>
    <w:unhideWhenUsed/>
    <w:rsid w:val="004A33E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28084">
      <w:bodyDiv w:val="1"/>
      <w:marLeft w:val="0"/>
      <w:marRight w:val="0"/>
      <w:marTop w:val="0"/>
      <w:marBottom w:val="0"/>
      <w:divBdr>
        <w:top w:val="none" w:sz="0" w:space="0" w:color="auto"/>
        <w:left w:val="none" w:sz="0" w:space="0" w:color="auto"/>
        <w:bottom w:val="none" w:sz="0" w:space="0" w:color="auto"/>
        <w:right w:val="none" w:sz="0" w:space="0" w:color="auto"/>
      </w:divBdr>
      <w:divsChild>
        <w:div w:id="1904872759">
          <w:marLeft w:val="0"/>
          <w:marRight w:val="0"/>
          <w:marTop w:val="0"/>
          <w:marBottom w:val="0"/>
          <w:divBdr>
            <w:top w:val="none" w:sz="0" w:space="0" w:color="auto"/>
            <w:left w:val="none" w:sz="0" w:space="0" w:color="auto"/>
            <w:bottom w:val="none" w:sz="0" w:space="0" w:color="auto"/>
            <w:right w:val="none" w:sz="0" w:space="0" w:color="auto"/>
          </w:divBdr>
        </w:div>
        <w:div w:id="283080297">
          <w:marLeft w:val="0"/>
          <w:marRight w:val="0"/>
          <w:marTop w:val="0"/>
          <w:marBottom w:val="0"/>
          <w:divBdr>
            <w:top w:val="none" w:sz="0" w:space="0" w:color="auto"/>
            <w:left w:val="none" w:sz="0" w:space="0" w:color="auto"/>
            <w:bottom w:val="none" w:sz="0" w:space="0" w:color="auto"/>
            <w:right w:val="none" w:sz="0" w:space="0" w:color="auto"/>
          </w:divBdr>
        </w:div>
        <w:div w:id="1071392637">
          <w:marLeft w:val="0"/>
          <w:marRight w:val="0"/>
          <w:marTop w:val="0"/>
          <w:marBottom w:val="0"/>
          <w:divBdr>
            <w:top w:val="none" w:sz="0" w:space="0" w:color="auto"/>
            <w:left w:val="none" w:sz="0" w:space="0" w:color="auto"/>
            <w:bottom w:val="none" w:sz="0" w:space="0" w:color="auto"/>
            <w:right w:val="none" w:sz="0" w:space="0" w:color="auto"/>
          </w:divBdr>
        </w:div>
        <w:div w:id="1958441917">
          <w:marLeft w:val="0"/>
          <w:marRight w:val="0"/>
          <w:marTop w:val="0"/>
          <w:marBottom w:val="0"/>
          <w:divBdr>
            <w:top w:val="none" w:sz="0" w:space="0" w:color="auto"/>
            <w:left w:val="none" w:sz="0" w:space="0" w:color="auto"/>
            <w:bottom w:val="none" w:sz="0" w:space="0" w:color="auto"/>
            <w:right w:val="none" w:sz="0" w:space="0" w:color="auto"/>
          </w:divBdr>
        </w:div>
      </w:divsChild>
    </w:div>
    <w:div w:id="1122572772">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C62F-1A3A-41CA-A8D2-5B622D1C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16</Pages>
  <Words>29208</Words>
  <Characters>16650</Characters>
  <Application>Microsoft Office Word</Application>
  <DocSecurity>0</DocSecurity>
  <Lines>138</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45767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Jovita Michniovienė</cp:lastModifiedBy>
  <cp:revision>121</cp:revision>
  <dcterms:created xsi:type="dcterms:W3CDTF">2024-01-10T19:35:00Z</dcterms:created>
  <dcterms:modified xsi:type="dcterms:W3CDTF">2026-04-27T06:18:00Z</dcterms:modified>
</cp:coreProperties>
</file>